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77" w:rsidRPr="00D51878" w:rsidRDefault="008539B9" w:rsidP="00433F87">
      <w:pPr>
        <w:spacing w:after="0" w:line="360" w:lineRule="auto"/>
        <w:ind w:left="1"/>
        <w:jc w:val="left"/>
        <w:rPr>
          <w:rFonts w:cs="Times New Roman"/>
          <w:color w:val="auto"/>
          <w:sz w:val="24"/>
          <w:szCs w:val="24"/>
        </w:rPr>
      </w:pPr>
      <w:r>
        <w:rPr>
          <w:rFonts w:eastAsia="Calibri" w:cs="Times New Roman"/>
          <w:b/>
          <w:noProof/>
          <w:color w:val="auto"/>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363</wp:posOffset>
                </wp:positionV>
                <wp:extent cx="9060815" cy="3218180"/>
                <wp:effectExtent l="0" t="0" r="26035" b="20320"/>
                <wp:wrapTopAndBottom/>
                <wp:docPr id="1" name="Metin Kutusu 1"/>
                <wp:cNvGraphicFramePr/>
                <a:graphic xmlns:a="http://schemas.openxmlformats.org/drawingml/2006/main">
                  <a:graphicData uri="http://schemas.microsoft.com/office/word/2010/wordprocessingShape">
                    <wps:wsp>
                      <wps:cNvSpPr txBox="1"/>
                      <wps:spPr>
                        <a:xfrm>
                          <a:off x="0" y="0"/>
                          <a:ext cx="9060815" cy="3218180"/>
                        </a:xfrm>
                        <a:prstGeom prst="rect">
                          <a:avLst/>
                        </a:prstGeom>
                        <a:noFill/>
                        <a:ln w="12700">
                          <a:solidFill>
                            <a:schemeClr val="accent5">
                              <a:lumMod val="75000"/>
                            </a:schemeClr>
                          </a:solidFill>
                        </a:ln>
                      </wps:spPr>
                      <wps:txbx>
                        <w:txbxContent>
                          <w:p w:rsidR="005768FA" w:rsidRDefault="005768FA" w:rsidP="005768FA">
                            <w:pPr>
                              <w:spacing w:before="120" w:after="120"/>
                              <w:ind w:hanging="11"/>
                              <w:rPr>
                                <w:rFonts w:cs="Times New Roman"/>
                                <w:b/>
                                <w:color w:val="1F3864" w:themeColor="accent5" w:themeShade="80"/>
                                <w:sz w:val="44"/>
                              </w:rPr>
                            </w:pPr>
                          </w:p>
                          <w:p w:rsidR="008539B9" w:rsidRDefault="005768FA" w:rsidP="005768FA">
                            <w:pPr>
                              <w:spacing w:before="120" w:after="120"/>
                              <w:ind w:hanging="11"/>
                              <w:rPr>
                                <w:rFonts w:cs="Times New Roman"/>
                                <w:b/>
                                <w:color w:val="1F3864" w:themeColor="accent5" w:themeShade="80"/>
                                <w:sz w:val="44"/>
                              </w:rPr>
                            </w:pPr>
                            <w:r w:rsidRPr="005768FA">
                              <w:rPr>
                                <w:rFonts w:cs="Times New Roman"/>
                                <w:b/>
                                <w:color w:val="1F3864" w:themeColor="accent5" w:themeShade="80"/>
                                <w:sz w:val="44"/>
                              </w:rPr>
                              <w:t xml:space="preserve">MDCG 2022-20 </w:t>
                            </w:r>
                          </w:p>
                          <w:p w:rsidR="005768FA" w:rsidRPr="005768FA" w:rsidRDefault="005768FA" w:rsidP="005768FA">
                            <w:pPr>
                              <w:spacing w:before="120" w:after="120"/>
                              <w:ind w:hanging="11"/>
                              <w:rPr>
                                <w:rFonts w:cs="Times New Roman"/>
                                <w:b/>
                                <w:color w:val="1F3864" w:themeColor="accent5" w:themeShade="80"/>
                                <w:sz w:val="44"/>
                              </w:rPr>
                            </w:pPr>
                          </w:p>
                          <w:p w:rsidR="005768FA" w:rsidRDefault="005768FA" w:rsidP="005768FA">
                            <w:pPr>
                              <w:spacing w:before="120" w:after="120"/>
                              <w:ind w:hanging="11"/>
                              <w:rPr>
                                <w:rFonts w:cs="Times New Roman"/>
                                <w:b/>
                                <w:color w:val="1F3864" w:themeColor="accent5" w:themeShade="80"/>
                                <w:sz w:val="44"/>
                              </w:rPr>
                            </w:pPr>
                            <w:r w:rsidRPr="005768FA">
                              <w:rPr>
                                <w:rFonts w:cs="Times New Roman"/>
                                <w:b/>
                                <w:color w:val="1F3864" w:themeColor="accent5" w:themeShade="80"/>
                                <w:sz w:val="44"/>
                              </w:rPr>
                              <w:t xml:space="preserve">(AB) 2017/746 sayılı Tüzük kapsamındaki performans çalışmasında önemli değişiklik </w:t>
                            </w:r>
                          </w:p>
                          <w:p w:rsidR="005768FA" w:rsidRPr="005768FA" w:rsidRDefault="005768FA" w:rsidP="005768FA">
                            <w:pPr>
                              <w:spacing w:before="120" w:after="120"/>
                              <w:ind w:hanging="11"/>
                              <w:rPr>
                                <w:rFonts w:cs="Times New Roman"/>
                                <w:b/>
                                <w:color w:val="1F3864" w:themeColor="accent5" w:themeShade="80"/>
                                <w:sz w:val="44"/>
                              </w:rPr>
                            </w:pPr>
                            <w:bookmarkStart w:id="0" w:name="_GoBack"/>
                            <w:bookmarkEnd w:id="0"/>
                          </w:p>
                          <w:p w:rsidR="005768FA" w:rsidRPr="005768FA" w:rsidRDefault="005768FA" w:rsidP="005768FA">
                            <w:pPr>
                              <w:spacing w:before="120" w:after="120"/>
                              <w:ind w:hanging="11"/>
                              <w:rPr>
                                <w:rFonts w:cs="Times New Roman"/>
                                <w:b/>
                                <w:color w:val="1F3864" w:themeColor="accent5" w:themeShade="80"/>
                                <w:sz w:val="36"/>
                              </w:rPr>
                            </w:pPr>
                            <w:r w:rsidRPr="005768FA">
                              <w:rPr>
                                <w:rFonts w:cs="Times New Roman"/>
                                <w:b/>
                                <w:color w:val="1F3864" w:themeColor="accent5" w:themeShade="80"/>
                                <w:sz w:val="36"/>
                              </w:rPr>
                              <w:t xml:space="preserve">Aralık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05pt;width:713.45pt;height:253.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" filled="f" strokecolor="#2f5496 [2408]" strokeweight="1pt">
                <v:textbox>
                  <w:txbxContent>
                    <w:p w:rsidR="005768FA" w:rsidRDefault="005768FA" w:rsidP="005768FA">
                      <w:pPr>
                        <w:spacing w:before="120" w:after="120"/>
                        <w:ind w:hanging="11"/>
                        <w:rPr>
                          <w:rFonts w:cs="Times New Roman"/>
                          <w:b/>
                          <w:color w:val="1F3864" w:themeColor="accent5" w:themeShade="80"/>
                          <w:sz w:val="44"/>
                        </w:rPr>
                      </w:pPr>
                    </w:p>
                    <w:p w:rsidR="008539B9" w:rsidRDefault="005768FA" w:rsidP="005768FA">
                      <w:pPr>
                        <w:spacing w:before="120" w:after="120"/>
                        <w:ind w:hanging="11"/>
                        <w:rPr>
                          <w:rFonts w:cs="Times New Roman"/>
                          <w:b/>
                          <w:color w:val="1F3864" w:themeColor="accent5" w:themeShade="80"/>
                          <w:sz w:val="44"/>
                        </w:rPr>
                      </w:pPr>
                      <w:r w:rsidRPr="005768FA">
                        <w:rPr>
                          <w:rFonts w:cs="Times New Roman"/>
                          <w:b/>
                          <w:color w:val="1F3864" w:themeColor="accent5" w:themeShade="80"/>
                          <w:sz w:val="44"/>
                        </w:rPr>
                        <w:t xml:space="preserve">MDCG 2022-20 </w:t>
                      </w:r>
                    </w:p>
                    <w:p w:rsidR="005768FA" w:rsidRPr="005768FA" w:rsidRDefault="005768FA" w:rsidP="005768FA">
                      <w:pPr>
                        <w:spacing w:before="120" w:after="120"/>
                        <w:ind w:hanging="11"/>
                        <w:rPr>
                          <w:rFonts w:cs="Times New Roman"/>
                          <w:b/>
                          <w:color w:val="1F3864" w:themeColor="accent5" w:themeShade="80"/>
                          <w:sz w:val="44"/>
                        </w:rPr>
                      </w:pPr>
                    </w:p>
                    <w:p w:rsidR="005768FA" w:rsidRDefault="005768FA" w:rsidP="005768FA">
                      <w:pPr>
                        <w:spacing w:before="120" w:after="120"/>
                        <w:ind w:hanging="11"/>
                        <w:rPr>
                          <w:rFonts w:cs="Times New Roman"/>
                          <w:b/>
                          <w:color w:val="1F3864" w:themeColor="accent5" w:themeShade="80"/>
                          <w:sz w:val="44"/>
                        </w:rPr>
                      </w:pPr>
                      <w:r w:rsidRPr="005768FA">
                        <w:rPr>
                          <w:rFonts w:cs="Times New Roman"/>
                          <w:b/>
                          <w:color w:val="1F3864" w:themeColor="accent5" w:themeShade="80"/>
                          <w:sz w:val="44"/>
                        </w:rPr>
                        <w:t xml:space="preserve">(AB) 2017/746 sayılı Tüzük kapsamındaki performans çalışmasında önemli değişiklik </w:t>
                      </w:r>
                    </w:p>
                    <w:p w:rsidR="005768FA" w:rsidRPr="005768FA" w:rsidRDefault="005768FA" w:rsidP="005768FA">
                      <w:pPr>
                        <w:spacing w:before="120" w:after="120"/>
                        <w:ind w:hanging="11"/>
                        <w:rPr>
                          <w:rFonts w:cs="Times New Roman"/>
                          <w:b/>
                          <w:color w:val="1F3864" w:themeColor="accent5" w:themeShade="80"/>
                          <w:sz w:val="44"/>
                        </w:rPr>
                      </w:pPr>
                    </w:p>
                    <w:p w:rsidR="005768FA" w:rsidRPr="005768FA" w:rsidRDefault="005768FA" w:rsidP="005768FA">
                      <w:pPr>
                        <w:spacing w:before="120" w:after="120"/>
                        <w:ind w:hanging="11"/>
                        <w:rPr>
                          <w:rFonts w:cs="Times New Roman"/>
                          <w:b/>
                          <w:color w:val="1F3864" w:themeColor="accent5" w:themeShade="80"/>
                          <w:sz w:val="36"/>
                        </w:rPr>
                      </w:pPr>
                      <w:r w:rsidRPr="005768FA">
                        <w:rPr>
                          <w:rFonts w:cs="Times New Roman"/>
                          <w:b/>
                          <w:color w:val="1F3864" w:themeColor="accent5" w:themeShade="80"/>
                          <w:sz w:val="36"/>
                        </w:rPr>
                        <w:t xml:space="preserve">Aralık 2022 </w:t>
                      </w:r>
                    </w:p>
                  </w:txbxContent>
                </v:textbox>
                <w10:wrap type="topAndBottom" anchorx="margin"/>
              </v:shape>
            </w:pict>
          </mc:Fallback>
        </mc:AlternateContent>
      </w:r>
      <w:r w:rsidR="002C3AE8" w:rsidRPr="00D51878">
        <w:rPr>
          <w:rFonts w:eastAsia="Calibri" w:cs="Times New Roman"/>
          <w:b/>
          <w:color w:val="auto"/>
          <w:sz w:val="24"/>
          <w:szCs w:val="24"/>
        </w:rPr>
        <w:t xml:space="preserve"> </w:t>
      </w:r>
    </w:p>
    <w:p w:rsidR="002B5F83" w:rsidRPr="00D51878" w:rsidRDefault="002B5F83" w:rsidP="005768FA">
      <w:pPr>
        <w:spacing w:after="0" w:line="360" w:lineRule="auto"/>
        <w:ind w:left="1"/>
        <w:rPr>
          <w:rFonts w:eastAsia="Arial" w:cs="Times New Roman"/>
          <w:color w:val="auto"/>
          <w:sz w:val="24"/>
          <w:szCs w:val="24"/>
        </w:rPr>
      </w:pPr>
      <w:r w:rsidRPr="00D51878">
        <w:rPr>
          <w:rFonts w:eastAsia="Arial" w:cs="Times New Roman"/>
          <w:color w:val="auto"/>
          <w:sz w:val="24"/>
          <w:szCs w:val="24"/>
        </w:rPr>
        <w:t xml:space="preserve">Bu doküman, (AB) 2017/745 sayılı </w:t>
      </w:r>
      <w:proofErr w:type="spellStart"/>
      <w:r w:rsidRPr="00D51878">
        <w:rPr>
          <w:rFonts w:eastAsia="Arial" w:cs="Times New Roman"/>
          <w:color w:val="auto"/>
          <w:sz w:val="24"/>
          <w:szCs w:val="24"/>
        </w:rPr>
        <w:t>Tüzük’ün</w:t>
      </w:r>
      <w:proofErr w:type="spellEnd"/>
      <w:r w:rsidRPr="00D51878">
        <w:rPr>
          <w:rFonts w:eastAsia="Arial" w:cs="Times New Roman"/>
          <w:color w:val="auto"/>
          <w:sz w:val="24"/>
          <w:szCs w:val="24"/>
        </w:rPr>
        <w:t xml:space="preserve"> 103. maddesi ile kurulan Tıbbi Cihaz Koordinasyon Grubu (MDCG) tarafından onaylanmıştır. MDCG, tüm üye devletlerin temsilcilerinden oluşur ve </w:t>
      </w:r>
      <w:proofErr w:type="spellStart"/>
      <w:r w:rsidRPr="00D51878">
        <w:rPr>
          <w:rFonts w:eastAsia="Arial" w:cs="Times New Roman"/>
          <w:color w:val="auto"/>
          <w:sz w:val="24"/>
          <w:szCs w:val="24"/>
        </w:rPr>
        <w:t>MDCG’ye</w:t>
      </w:r>
      <w:proofErr w:type="spellEnd"/>
      <w:r w:rsidRPr="00D51878">
        <w:rPr>
          <w:rFonts w:eastAsia="Arial" w:cs="Times New Roman"/>
          <w:color w:val="auto"/>
          <w:sz w:val="24"/>
          <w:szCs w:val="24"/>
        </w:rPr>
        <w:t xml:space="preserve"> bir Avrupa Komisyonu temsilcisi başkanlık eder.</w:t>
      </w:r>
    </w:p>
    <w:p w:rsidR="002B5F83" w:rsidRPr="00D51878" w:rsidRDefault="002B5F83" w:rsidP="005768FA">
      <w:pPr>
        <w:spacing w:after="0" w:line="360" w:lineRule="auto"/>
        <w:ind w:left="-5" w:right="-12" w:hanging="10"/>
        <w:rPr>
          <w:rFonts w:eastAsia="Arial" w:cs="Times New Roman"/>
          <w:color w:val="auto"/>
          <w:sz w:val="24"/>
          <w:szCs w:val="24"/>
        </w:rPr>
      </w:pPr>
      <w:r w:rsidRPr="00D51878">
        <w:rPr>
          <w:rFonts w:eastAsia="Arial" w:cs="Times New Roman"/>
          <w:color w:val="auto"/>
          <w:sz w:val="24"/>
          <w:szCs w:val="24"/>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rsidR="005768FA" w:rsidRDefault="005768FA">
      <w:pPr>
        <w:spacing w:after="160"/>
        <w:jc w:val="left"/>
        <w:rPr>
          <w:rFonts w:eastAsia="Arial" w:cs="Times New Roman"/>
          <w:color w:val="auto"/>
          <w:sz w:val="24"/>
          <w:szCs w:val="24"/>
        </w:rPr>
      </w:pPr>
      <w:r>
        <w:rPr>
          <w:rFonts w:eastAsia="Arial" w:cs="Times New Roman"/>
          <w:color w:val="auto"/>
          <w:sz w:val="24"/>
          <w:szCs w:val="24"/>
        </w:rPr>
        <w:br w:type="page"/>
      </w:r>
    </w:p>
    <w:sdt>
      <w:sdtPr>
        <w:rPr>
          <w:rFonts w:ascii="Times New Roman" w:eastAsia="Segoe UI" w:hAnsi="Times New Roman" w:cs="Segoe UI"/>
          <w:color w:val="000000"/>
          <w:sz w:val="22"/>
          <w:szCs w:val="22"/>
        </w:rPr>
        <w:id w:val="1726332245"/>
        <w:docPartObj>
          <w:docPartGallery w:val="Table of Contents"/>
          <w:docPartUnique/>
        </w:docPartObj>
      </w:sdtPr>
      <w:sdtEndPr>
        <w:rPr>
          <w:b/>
          <w:bCs/>
        </w:rPr>
      </w:sdtEndPr>
      <w:sdtContent>
        <w:p w:rsidR="0075673B" w:rsidRDefault="0075673B">
          <w:pPr>
            <w:pStyle w:val="TBal"/>
          </w:pPr>
          <w:r>
            <w:t>İçindekiler</w:t>
          </w:r>
        </w:p>
        <w:p w:rsidR="0075673B" w:rsidRDefault="0075673B">
          <w:pPr>
            <w:pStyle w:val="T1"/>
            <w:tabs>
              <w:tab w:val="right" w:leader="dot" w:pos="14225"/>
            </w:tabs>
            <w:rPr>
              <w:noProof/>
            </w:rPr>
          </w:pPr>
          <w:r>
            <w:fldChar w:fldCharType="begin"/>
          </w:r>
          <w:r>
            <w:instrText xml:space="preserve"> TOC \o "1-3" \h \z \u </w:instrText>
          </w:r>
          <w:r>
            <w:fldChar w:fldCharType="separate"/>
          </w:r>
          <w:hyperlink w:anchor="_Toc153804870" w:history="1">
            <w:r w:rsidRPr="009B4E18">
              <w:rPr>
                <w:rStyle w:val="Kpr"/>
                <w:noProof/>
              </w:rPr>
              <w:t>1 Akronimler</w:t>
            </w:r>
            <w:r>
              <w:rPr>
                <w:noProof/>
                <w:webHidden/>
              </w:rPr>
              <w:tab/>
            </w:r>
            <w:r>
              <w:rPr>
                <w:noProof/>
                <w:webHidden/>
              </w:rPr>
              <w:fldChar w:fldCharType="begin"/>
            </w:r>
            <w:r>
              <w:rPr>
                <w:noProof/>
                <w:webHidden/>
              </w:rPr>
              <w:instrText xml:space="preserve"> PAGEREF _Toc153804870 \h </w:instrText>
            </w:r>
            <w:r>
              <w:rPr>
                <w:noProof/>
                <w:webHidden/>
              </w:rPr>
            </w:r>
            <w:r>
              <w:rPr>
                <w:noProof/>
                <w:webHidden/>
              </w:rPr>
              <w:fldChar w:fldCharType="separate"/>
            </w:r>
            <w:r>
              <w:rPr>
                <w:noProof/>
                <w:webHidden/>
              </w:rPr>
              <w:t>2</w:t>
            </w:r>
            <w:r>
              <w:rPr>
                <w:noProof/>
                <w:webHidden/>
              </w:rPr>
              <w:fldChar w:fldCharType="end"/>
            </w:r>
          </w:hyperlink>
        </w:p>
        <w:p w:rsidR="0075673B" w:rsidRDefault="005B5C76">
          <w:pPr>
            <w:pStyle w:val="T1"/>
            <w:tabs>
              <w:tab w:val="right" w:leader="dot" w:pos="14225"/>
            </w:tabs>
            <w:rPr>
              <w:noProof/>
            </w:rPr>
          </w:pPr>
          <w:hyperlink w:anchor="_Toc153804871" w:history="1">
            <w:r w:rsidR="0075673B" w:rsidRPr="009B4E18">
              <w:rPr>
                <w:rStyle w:val="Kpr"/>
                <w:noProof/>
              </w:rPr>
              <w:t>2 Giriş</w:t>
            </w:r>
            <w:r w:rsidR="0075673B">
              <w:rPr>
                <w:noProof/>
                <w:webHidden/>
              </w:rPr>
              <w:tab/>
            </w:r>
            <w:r w:rsidR="0075673B">
              <w:rPr>
                <w:noProof/>
                <w:webHidden/>
              </w:rPr>
              <w:fldChar w:fldCharType="begin"/>
            </w:r>
            <w:r w:rsidR="0075673B">
              <w:rPr>
                <w:noProof/>
                <w:webHidden/>
              </w:rPr>
              <w:instrText xml:space="preserve"> PAGEREF _Toc153804871 \h </w:instrText>
            </w:r>
            <w:r w:rsidR="0075673B">
              <w:rPr>
                <w:noProof/>
                <w:webHidden/>
              </w:rPr>
            </w:r>
            <w:r w:rsidR="0075673B">
              <w:rPr>
                <w:noProof/>
                <w:webHidden/>
              </w:rPr>
              <w:fldChar w:fldCharType="separate"/>
            </w:r>
            <w:r w:rsidR="0075673B">
              <w:rPr>
                <w:noProof/>
                <w:webHidden/>
              </w:rPr>
              <w:t>4</w:t>
            </w:r>
            <w:r w:rsidR="0075673B">
              <w:rPr>
                <w:noProof/>
                <w:webHidden/>
              </w:rPr>
              <w:fldChar w:fldCharType="end"/>
            </w:r>
          </w:hyperlink>
        </w:p>
        <w:p w:rsidR="0075673B" w:rsidRDefault="005B5C76">
          <w:pPr>
            <w:pStyle w:val="T1"/>
            <w:tabs>
              <w:tab w:val="right" w:leader="dot" w:pos="14225"/>
            </w:tabs>
            <w:rPr>
              <w:noProof/>
            </w:rPr>
          </w:pPr>
          <w:hyperlink w:anchor="_Toc153804872" w:history="1">
            <w:r w:rsidR="0075673B" w:rsidRPr="009B4E18">
              <w:rPr>
                <w:rStyle w:val="Kpr"/>
                <w:noProof/>
              </w:rPr>
              <w:t>3 Ek – Şablonlar</w:t>
            </w:r>
            <w:r w:rsidR="0075673B">
              <w:rPr>
                <w:noProof/>
                <w:webHidden/>
              </w:rPr>
              <w:tab/>
            </w:r>
            <w:r w:rsidR="0075673B">
              <w:rPr>
                <w:noProof/>
                <w:webHidden/>
              </w:rPr>
              <w:fldChar w:fldCharType="begin"/>
            </w:r>
            <w:r w:rsidR="0075673B">
              <w:rPr>
                <w:noProof/>
                <w:webHidden/>
              </w:rPr>
              <w:instrText xml:space="preserve"> PAGEREF _Toc153804872 \h </w:instrText>
            </w:r>
            <w:r w:rsidR="0075673B">
              <w:rPr>
                <w:noProof/>
                <w:webHidden/>
              </w:rPr>
            </w:r>
            <w:r w:rsidR="0075673B">
              <w:rPr>
                <w:noProof/>
                <w:webHidden/>
              </w:rPr>
              <w:fldChar w:fldCharType="separate"/>
            </w:r>
            <w:r w:rsidR="0075673B">
              <w:rPr>
                <w:noProof/>
                <w:webHidden/>
              </w:rPr>
              <w:t>5</w:t>
            </w:r>
            <w:r w:rsidR="0075673B">
              <w:rPr>
                <w:noProof/>
                <w:webHidden/>
              </w:rPr>
              <w:fldChar w:fldCharType="end"/>
            </w:r>
          </w:hyperlink>
        </w:p>
        <w:p w:rsidR="0075673B" w:rsidRDefault="0075673B">
          <w:r>
            <w:rPr>
              <w:b/>
              <w:bCs/>
            </w:rPr>
            <w:fldChar w:fldCharType="end"/>
          </w:r>
        </w:p>
      </w:sdtContent>
    </w:sdt>
    <w:p w:rsidR="005E5E12" w:rsidRPr="00D51878" w:rsidRDefault="005E5E12" w:rsidP="00433F87">
      <w:pPr>
        <w:spacing w:after="0" w:line="360" w:lineRule="auto"/>
        <w:ind w:right="-12"/>
        <w:rPr>
          <w:rFonts w:eastAsia="Arial" w:cs="Times New Roman"/>
          <w:color w:val="auto"/>
          <w:sz w:val="24"/>
          <w:szCs w:val="24"/>
        </w:rPr>
      </w:pPr>
    </w:p>
    <w:p w:rsidR="0075673B" w:rsidRDefault="0075673B" w:rsidP="00433F87">
      <w:pPr>
        <w:spacing w:after="0" w:line="360" w:lineRule="auto"/>
        <w:ind w:right="-12"/>
        <w:rPr>
          <w:rFonts w:eastAsia="Arial" w:cs="Times New Roman"/>
          <w:color w:val="auto"/>
          <w:sz w:val="24"/>
          <w:szCs w:val="24"/>
        </w:rPr>
        <w:sectPr w:rsidR="0075673B" w:rsidSect="00D502B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752" w:bottom="1134" w:left="851" w:header="788" w:footer="709" w:gutter="0"/>
          <w:cols w:space="708"/>
          <w:docGrid w:linePitch="272"/>
        </w:sectPr>
      </w:pPr>
    </w:p>
    <w:p w:rsidR="004F5009" w:rsidRPr="00D51878" w:rsidRDefault="004F5009" w:rsidP="004F5009">
      <w:pPr>
        <w:pStyle w:val="Balk1"/>
        <w:rPr>
          <w:color w:val="4472C4" w:themeColor="accent5"/>
        </w:rPr>
      </w:pPr>
      <w:bookmarkStart w:id="1" w:name="_Toc153804870"/>
      <w:r w:rsidRPr="00D51878">
        <w:rPr>
          <w:color w:val="4472C4" w:themeColor="accent5"/>
        </w:rPr>
        <w:lastRenderedPageBreak/>
        <w:t>1 Akronimler</w:t>
      </w:r>
      <w:bookmarkEnd w:id="1"/>
    </w:p>
    <w:p w:rsidR="004F5009" w:rsidRPr="00D51878" w:rsidRDefault="004F5009" w:rsidP="004F5009">
      <w:pPr>
        <w:rPr>
          <w:color w:val="auto"/>
        </w:rPr>
      </w:pPr>
    </w:p>
    <w:p w:rsidR="004F5009" w:rsidRPr="00D51878" w:rsidRDefault="004F5009" w:rsidP="004F5009">
      <w:pPr>
        <w:spacing w:after="0" w:line="360" w:lineRule="auto"/>
        <w:ind w:right="-12"/>
        <w:rPr>
          <w:rFonts w:eastAsia="Arial" w:cs="Times New Roman"/>
          <w:color w:val="auto"/>
          <w:sz w:val="24"/>
          <w:szCs w:val="24"/>
        </w:rPr>
      </w:pPr>
      <w:r w:rsidRPr="00D51878">
        <w:rPr>
          <w:rFonts w:eastAsia="Arial" w:cs="Times New Roman"/>
          <w:b/>
          <w:color w:val="auto"/>
          <w:sz w:val="24"/>
          <w:szCs w:val="24"/>
        </w:rPr>
        <w:t>EUDAMED</w:t>
      </w:r>
      <w:r w:rsidRPr="00D51878">
        <w:rPr>
          <w:rFonts w:eastAsia="Arial" w:cs="Times New Roman"/>
          <w:color w:val="auto"/>
          <w:sz w:val="24"/>
          <w:szCs w:val="24"/>
        </w:rPr>
        <w:t xml:space="preserve"> </w:t>
      </w:r>
      <w:r w:rsidRPr="00D51878">
        <w:rPr>
          <w:rFonts w:eastAsia="Arial" w:cs="Times New Roman"/>
          <w:color w:val="auto"/>
          <w:sz w:val="24"/>
          <w:szCs w:val="24"/>
        </w:rPr>
        <w:tab/>
        <w:t>Tıbbi Cihazlara İlişkin Avrupa Veri Tabanı</w:t>
      </w:r>
    </w:p>
    <w:p w:rsidR="004F5009" w:rsidRPr="00D51878" w:rsidRDefault="004F5009" w:rsidP="004F5009">
      <w:pPr>
        <w:spacing w:after="0" w:line="360" w:lineRule="auto"/>
        <w:ind w:right="-12"/>
        <w:rPr>
          <w:rFonts w:eastAsia="Arial" w:cs="Times New Roman"/>
          <w:color w:val="auto"/>
          <w:sz w:val="24"/>
          <w:szCs w:val="24"/>
        </w:rPr>
      </w:pPr>
      <w:r w:rsidRPr="00D51878">
        <w:rPr>
          <w:rFonts w:eastAsia="Arial" w:cs="Times New Roman"/>
          <w:b/>
          <w:color w:val="auto"/>
          <w:sz w:val="24"/>
          <w:szCs w:val="24"/>
        </w:rPr>
        <w:t>GSPR</w:t>
      </w:r>
      <w:r w:rsidRPr="00D51878">
        <w:rPr>
          <w:rFonts w:eastAsia="Arial" w:cs="Times New Roman"/>
          <w:b/>
          <w:color w:val="auto"/>
          <w:sz w:val="24"/>
          <w:szCs w:val="24"/>
        </w:rPr>
        <w:tab/>
      </w:r>
      <w:r w:rsidRPr="00D51878">
        <w:rPr>
          <w:rFonts w:eastAsia="Arial" w:cs="Times New Roman"/>
          <w:b/>
          <w:color w:val="auto"/>
          <w:sz w:val="24"/>
          <w:szCs w:val="24"/>
        </w:rPr>
        <w:tab/>
      </w:r>
      <w:r w:rsidRPr="00D51878">
        <w:rPr>
          <w:rFonts w:eastAsia="Arial" w:cs="Times New Roman"/>
          <w:color w:val="auto"/>
          <w:sz w:val="24"/>
          <w:szCs w:val="24"/>
        </w:rPr>
        <w:t>Genel Güven</w:t>
      </w:r>
      <w:r w:rsidR="0002762A">
        <w:rPr>
          <w:rFonts w:eastAsia="Arial" w:cs="Times New Roman"/>
          <w:color w:val="auto"/>
          <w:sz w:val="24"/>
          <w:szCs w:val="24"/>
        </w:rPr>
        <w:t>li</w:t>
      </w:r>
      <w:r w:rsidRPr="00D51878">
        <w:rPr>
          <w:rFonts w:eastAsia="Arial" w:cs="Times New Roman"/>
          <w:color w:val="auto"/>
          <w:sz w:val="24"/>
          <w:szCs w:val="24"/>
        </w:rPr>
        <w:t xml:space="preserve">lik Ve Performans </w:t>
      </w:r>
      <w:r w:rsidR="0002762A" w:rsidRPr="00D51878">
        <w:rPr>
          <w:rFonts w:eastAsia="Arial" w:cs="Times New Roman"/>
          <w:color w:val="auto"/>
          <w:sz w:val="24"/>
          <w:szCs w:val="24"/>
        </w:rPr>
        <w:t>Gerek</w:t>
      </w:r>
      <w:r w:rsidR="0002762A">
        <w:rPr>
          <w:rFonts w:eastAsia="Arial" w:cs="Times New Roman"/>
          <w:color w:val="auto"/>
          <w:sz w:val="24"/>
          <w:szCs w:val="24"/>
        </w:rPr>
        <w:t>lilik</w:t>
      </w:r>
      <w:r w:rsidR="0002762A" w:rsidRPr="00D51878">
        <w:rPr>
          <w:rFonts w:eastAsia="Arial" w:cs="Times New Roman"/>
          <w:color w:val="auto"/>
          <w:sz w:val="24"/>
          <w:szCs w:val="24"/>
        </w:rPr>
        <w:t>leri</w:t>
      </w:r>
    </w:p>
    <w:p w:rsidR="004F5009" w:rsidRPr="00D51878" w:rsidRDefault="004F5009" w:rsidP="004F5009">
      <w:pPr>
        <w:spacing w:after="0" w:line="360" w:lineRule="auto"/>
        <w:ind w:right="-12"/>
        <w:rPr>
          <w:rFonts w:eastAsia="Arial" w:cs="Times New Roman"/>
          <w:color w:val="auto"/>
          <w:sz w:val="24"/>
          <w:szCs w:val="24"/>
        </w:rPr>
      </w:pPr>
      <w:r w:rsidRPr="00D51878">
        <w:rPr>
          <w:rFonts w:eastAsia="Arial" w:cs="Times New Roman"/>
          <w:b/>
          <w:color w:val="auto"/>
          <w:sz w:val="24"/>
          <w:szCs w:val="24"/>
        </w:rPr>
        <w:t>NCA</w:t>
      </w:r>
      <w:r w:rsidRPr="00D51878">
        <w:rPr>
          <w:rFonts w:eastAsia="Arial" w:cs="Times New Roman"/>
          <w:color w:val="auto"/>
          <w:sz w:val="24"/>
          <w:szCs w:val="24"/>
        </w:rPr>
        <w:tab/>
      </w:r>
      <w:r w:rsidRPr="00D51878">
        <w:rPr>
          <w:rFonts w:eastAsia="Arial" w:cs="Times New Roman"/>
          <w:color w:val="auto"/>
          <w:sz w:val="24"/>
          <w:szCs w:val="24"/>
        </w:rPr>
        <w:tab/>
        <w:t>Ulusal Yetkili Otorite</w:t>
      </w:r>
    </w:p>
    <w:p w:rsidR="004F5009" w:rsidRPr="00D51878" w:rsidRDefault="004F5009" w:rsidP="004F5009">
      <w:pPr>
        <w:spacing w:after="0" w:line="360" w:lineRule="auto"/>
        <w:ind w:right="-12"/>
        <w:rPr>
          <w:rFonts w:eastAsia="Arial" w:cs="Times New Roman"/>
          <w:color w:val="auto"/>
          <w:sz w:val="24"/>
          <w:szCs w:val="24"/>
        </w:rPr>
      </w:pPr>
      <w:r w:rsidRPr="00D51878">
        <w:rPr>
          <w:rFonts w:eastAsia="Arial" w:cs="Times New Roman"/>
          <w:b/>
          <w:color w:val="auto"/>
          <w:sz w:val="24"/>
          <w:szCs w:val="24"/>
        </w:rPr>
        <w:t>PMPF</w:t>
      </w:r>
      <w:r w:rsidRPr="00D51878">
        <w:rPr>
          <w:rFonts w:eastAsia="Arial" w:cs="Times New Roman"/>
          <w:color w:val="auto"/>
          <w:sz w:val="24"/>
          <w:szCs w:val="24"/>
        </w:rPr>
        <w:t xml:space="preserve"> </w:t>
      </w:r>
      <w:r w:rsidRPr="00D51878">
        <w:rPr>
          <w:rFonts w:eastAsia="Arial" w:cs="Times New Roman"/>
          <w:color w:val="auto"/>
          <w:sz w:val="24"/>
          <w:szCs w:val="24"/>
        </w:rPr>
        <w:tab/>
        <w:t xml:space="preserve">Piyasaya Arz Sonrası </w:t>
      </w:r>
      <w:r w:rsidR="0002762A">
        <w:rPr>
          <w:rFonts w:eastAsia="Arial" w:cs="Times New Roman"/>
          <w:color w:val="auto"/>
          <w:sz w:val="24"/>
          <w:szCs w:val="24"/>
        </w:rPr>
        <w:t>Performans Takibi</w:t>
      </w:r>
    </w:p>
    <w:p w:rsidR="004F5009" w:rsidRPr="00D51878" w:rsidRDefault="004F5009" w:rsidP="004F5009">
      <w:pPr>
        <w:spacing w:after="0" w:line="360" w:lineRule="auto"/>
        <w:ind w:right="-12"/>
        <w:rPr>
          <w:rFonts w:eastAsia="Arial" w:cs="Times New Roman"/>
          <w:color w:val="auto"/>
          <w:sz w:val="24"/>
          <w:szCs w:val="24"/>
        </w:rPr>
      </w:pPr>
      <w:r w:rsidRPr="00D51878">
        <w:rPr>
          <w:rFonts w:eastAsia="Arial" w:cs="Times New Roman"/>
          <w:b/>
          <w:color w:val="auto"/>
          <w:sz w:val="24"/>
          <w:szCs w:val="24"/>
        </w:rPr>
        <w:t>REC</w:t>
      </w:r>
      <w:r w:rsidRPr="00D51878">
        <w:rPr>
          <w:rFonts w:eastAsia="Arial" w:cs="Times New Roman"/>
          <w:b/>
          <w:color w:val="auto"/>
          <w:sz w:val="24"/>
          <w:szCs w:val="24"/>
        </w:rPr>
        <w:tab/>
      </w:r>
      <w:r w:rsidRPr="00D51878">
        <w:rPr>
          <w:rFonts w:eastAsia="Arial" w:cs="Times New Roman"/>
          <w:b/>
          <w:color w:val="auto"/>
          <w:sz w:val="24"/>
          <w:szCs w:val="24"/>
        </w:rPr>
        <w:tab/>
      </w:r>
      <w:r w:rsidRPr="00D51878">
        <w:rPr>
          <w:rFonts w:eastAsia="Arial" w:cs="Times New Roman"/>
          <w:color w:val="auto"/>
          <w:sz w:val="24"/>
          <w:szCs w:val="24"/>
        </w:rPr>
        <w:t>Araştırma Etik Kurulu</w:t>
      </w:r>
    </w:p>
    <w:p w:rsidR="004964A1" w:rsidRPr="00D51878" w:rsidRDefault="004964A1" w:rsidP="004F5009">
      <w:pPr>
        <w:spacing w:after="0" w:line="360" w:lineRule="auto"/>
        <w:ind w:right="-12"/>
        <w:rPr>
          <w:rFonts w:eastAsia="Arial" w:cs="Times New Roman"/>
          <w:color w:val="auto"/>
          <w:sz w:val="24"/>
          <w:szCs w:val="24"/>
        </w:rPr>
      </w:pPr>
    </w:p>
    <w:p w:rsidR="004964A1" w:rsidRPr="00D51878" w:rsidRDefault="004964A1" w:rsidP="004F5009">
      <w:pPr>
        <w:spacing w:after="0" w:line="360" w:lineRule="auto"/>
        <w:ind w:right="-12"/>
        <w:rPr>
          <w:rFonts w:eastAsia="Arial" w:cs="Times New Roman"/>
          <w:color w:val="auto"/>
          <w:sz w:val="24"/>
          <w:szCs w:val="24"/>
        </w:rPr>
      </w:pPr>
    </w:p>
    <w:p w:rsidR="0075673B" w:rsidRDefault="0075673B" w:rsidP="004F5009">
      <w:pPr>
        <w:spacing w:after="0" w:line="360" w:lineRule="auto"/>
        <w:ind w:right="-12"/>
        <w:rPr>
          <w:rFonts w:eastAsia="Arial" w:cs="Times New Roman"/>
          <w:color w:val="auto"/>
          <w:sz w:val="24"/>
          <w:szCs w:val="24"/>
        </w:rPr>
        <w:sectPr w:rsidR="0075673B" w:rsidSect="00D502B2">
          <w:pgSz w:w="16838" w:h="11906" w:orient="landscape"/>
          <w:pgMar w:top="1440" w:right="1752" w:bottom="1134" w:left="851" w:header="788" w:footer="709" w:gutter="0"/>
          <w:cols w:space="708"/>
          <w:docGrid w:linePitch="272"/>
        </w:sectPr>
      </w:pPr>
    </w:p>
    <w:p w:rsidR="004964A1" w:rsidRPr="00D51878" w:rsidRDefault="004964A1" w:rsidP="00D502B2">
      <w:pPr>
        <w:pStyle w:val="Balk1"/>
        <w:rPr>
          <w:color w:val="4472C4" w:themeColor="accent5"/>
        </w:rPr>
      </w:pPr>
      <w:bookmarkStart w:id="2" w:name="_Toc153804871"/>
      <w:r w:rsidRPr="00D51878">
        <w:rPr>
          <w:color w:val="4472C4" w:themeColor="accent5"/>
        </w:rPr>
        <w:lastRenderedPageBreak/>
        <w:t>2 Giriş</w:t>
      </w:r>
      <w:bookmarkEnd w:id="2"/>
    </w:p>
    <w:p w:rsidR="0043001F" w:rsidRPr="00D51878" w:rsidRDefault="004964A1" w:rsidP="004964A1">
      <w:pPr>
        <w:spacing w:after="0" w:line="360" w:lineRule="auto"/>
        <w:ind w:right="-12"/>
        <w:rPr>
          <w:rFonts w:eastAsia="Arial" w:cs="Times New Roman"/>
          <w:color w:val="auto"/>
          <w:sz w:val="24"/>
          <w:szCs w:val="24"/>
        </w:rPr>
      </w:pPr>
      <w:r w:rsidRPr="00D51878">
        <w:rPr>
          <w:rFonts w:eastAsia="Arial" w:cs="Times New Roman"/>
          <w:color w:val="auto"/>
          <w:sz w:val="24"/>
          <w:szCs w:val="24"/>
        </w:rPr>
        <w:t xml:space="preserve">Bir performans çalışmasının </w:t>
      </w:r>
      <w:proofErr w:type="gramStart"/>
      <w:r w:rsidRPr="00D51878">
        <w:rPr>
          <w:rFonts w:eastAsia="Arial" w:cs="Times New Roman"/>
          <w:color w:val="auto"/>
          <w:sz w:val="24"/>
          <w:szCs w:val="24"/>
        </w:rPr>
        <w:t>sponsorunun</w:t>
      </w:r>
      <w:proofErr w:type="gramEnd"/>
      <w:r w:rsidRPr="00D51878">
        <w:rPr>
          <w:rFonts w:eastAsia="Arial" w:cs="Times New Roman"/>
          <w:color w:val="auto"/>
          <w:sz w:val="24"/>
          <w:szCs w:val="24"/>
        </w:rPr>
        <w:t xml:space="preserve">, </w:t>
      </w:r>
      <w:r w:rsidR="00C41C88" w:rsidRPr="00D51878">
        <w:rPr>
          <w:rFonts w:eastAsia="Arial" w:cs="Times New Roman"/>
          <w:color w:val="auto"/>
          <w:sz w:val="24"/>
          <w:szCs w:val="24"/>
        </w:rPr>
        <w:t xml:space="preserve">performans çalışmasının yürütüleceği Üye </w:t>
      </w:r>
      <w:r w:rsidR="00C41C88">
        <w:rPr>
          <w:rFonts w:eastAsia="Arial" w:cs="Times New Roman"/>
          <w:color w:val="auto"/>
          <w:sz w:val="24"/>
          <w:szCs w:val="24"/>
        </w:rPr>
        <w:t xml:space="preserve">Ülkeye/Ülkelere </w:t>
      </w:r>
      <w:r w:rsidR="00557238">
        <w:rPr>
          <w:rFonts w:eastAsia="Arial" w:cs="Times New Roman"/>
          <w:color w:val="auto"/>
          <w:sz w:val="24"/>
          <w:szCs w:val="24"/>
        </w:rPr>
        <w:t>i</w:t>
      </w:r>
      <w:r w:rsidR="00557238" w:rsidRPr="00D51878">
        <w:rPr>
          <w:rFonts w:eastAsia="Arial" w:cs="Times New Roman"/>
          <w:color w:val="auto"/>
          <w:sz w:val="24"/>
          <w:szCs w:val="24"/>
        </w:rPr>
        <w:t xml:space="preserve">n </w:t>
      </w:r>
      <w:proofErr w:type="spellStart"/>
      <w:r w:rsidR="00557238">
        <w:rPr>
          <w:rFonts w:eastAsia="Arial" w:cs="Times New Roman"/>
          <w:color w:val="auto"/>
          <w:sz w:val="24"/>
          <w:szCs w:val="24"/>
        </w:rPr>
        <w:t>v</w:t>
      </w:r>
      <w:r w:rsidR="00557238" w:rsidRPr="00D51878">
        <w:rPr>
          <w:rFonts w:eastAsia="Arial" w:cs="Times New Roman"/>
          <w:color w:val="auto"/>
          <w:sz w:val="24"/>
          <w:szCs w:val="24"/>
        </w:rPr>
        <w:t>itro</w:t>
      </w:r>
      <w:proofErr w:type="spellEnd"/>
      <w:r w:rsidR="00557238" w:rsidRPr="00D51878">
        <w:rPr>
          <w:rFonts w:eastAsia="Arial" w:cs="Times New Roman"/>
          <w:color w:val="auto"/>
          <w:sz w:val="24"/>
          <w:szCs w:val="24"/>
        </w:rPr>
        <w:t xml:space="preserve"> </w:t>
      </w:r>
      <w:r w:rsidR="00557238">
        <w:rPr>
          <w:rFonts w:eastAsia="Arial" w:cs="Times New Roman"/>
          <w:color w:val="auto"/>
          <w:sz w:val="24"/>
          <w:szCs w:val="24"/>
        </w:rPr>
        <w:t>t</w:t>
      </w:r>
      <w:r w:rsidR="00557238" w:rsidRPr="00D51878">
        <w:rPr>
          <w:rFonts w:eastAsia="Arial" w:cs="Times New Roman"/>
          <w:color w:val="auto"/>
          <w:sz w:val="24"/>
          <w:szCs w:val="24"/>
        </w:rPr>
        <w:t xml:space="preserve">ıbbi </w:t>
      </w:r>
      <w:r w:rsidR="00557238">
        <w:rPr>
          <w:rFonts w:eastAsia="Arial" w:cs="Times New Roman"/>
          <w:color w:val="auto"/>
          <w:sz w:val="24"/>
          <w:szCs w:val="24"/>
        </w:rPr>
        <w:t>t</w:t>
      </w:r>
      <w:r w:rsidR="00557238" w:rsidRPr="00D51878">
        <w:rPr>
          <w:rFonts w:eastAsia="Arial" w:cs="Times New Roman"/>
          <w:color w:val="auto"/>
          <w:sz w:val="24"/>
          <w:szCs w:val="24"/>
        </w:rPr>
        <w:t xml:space="preserve">anı </w:t>
      </w:r>
      <w:r w:rsidR="00557238">
        <w:rPr>
          <w:rFonts w:eastAsia="Arial" w:cs="Times New Roman"/>
          <w:color w:val="auto"/>
          <w:sz w:val="24"/>
          <w:szCs w:val="24"/>
        </w:rPr>
        <w:t>c</w:t>
      </w:r>
      <w:r w:rsidR="00557238" w:rsidRPr="00D51878">
        <w:rPr>
          <w:rFonts w:eastAsia="Arial" w:cs="Times New Roman"/>
          <w:color w:val="auto"/>
          <w:sz w:val="24"/>
          <w:szCs w:val="24"/>
        </w:rPr>
        <w:t>ihazları</w:t>
      </w:r>
      <w:r w:rsidR="00557238">
        <w:rPr>
          <w:rFonts w:eastAsia="Arial" w:cs="Times New Roman"/>
          <w:color w:val="auto"/>
          <w:sz w:val="24"/>
          <w:szCs w:val="24"/>
        </w:rPr>
        <w:t>na ilişkin</w:t>
      </w:r>
      <w:r w:rsidR="00557238" w:rsidRPr="00D51878">
        <w:rPr>
          <w:rFonts w:eastAsia="Arial" w:cs="Times New Roman"/>
          <w:color w:val="auto"/>
          <w:sz w:val="24"/>
          <w:szCs w:val="24"/>
        </w:rPr>
        <w:t xml:space="preserve"> </w:t>
      </w:r>
      <w:r w:rsidRPr="00D51878">
        <w:rPr>
          <w:rFonts w:eastAsia="Arial" w:cs="Times New Roman"/>
          <w:color w:val="auto"/>
          <w:sz w:val="24"/>
          <w:szCs w:val="24"/>
        </w:rPr>
        <w:t>(AB) 2017/ 746 sayılı Tüzü</w:t>
      </w:r>
      <w:r w:rsidR="00C41C88">
        <w:rPr>
          <w:rFonts w:eastAsia="Arial" w:cs="Times New Roman"/>
          <w:color w:val="auto"/>
          <w:sz w:val="24"/>
          <w:szCs w:val="24"/>
        </w:rPr>
        <w:t>k</w:t>
      </w:r>
      <w:r w:rsidRPr="00D51878">
        <w:rPr>
          <w:rFonts w:eastAsia="Arial" w:cs="Times New Roman"/>
          <w:color w:val="auto"/>
          <w:sz w:val="24"/>
          <w:szCs w:val="24"/>
        </w:rPr>
        <w:t xml:space="preserve"> (IVDR) Ek XIV Bölüm </w:t>
      </w:r>
      <w:proofErr w:type="spellStart"/>
      <w:r w:rsidRPr="00D51878">
        <w:rPr>
          <w:rFonts w:eastAsia="Arial" w:cs="Times New Roman"/>
          <w:color w:val="auto"/>
          <w:sz w:val="24"/>
          <w:szCs w:val="24"/>
        </w:rPr>
        <w:t>I'de</w:t>
      </w:r>
      <w:proofErr w:type="spellEnd"/>
      <w:r w:rsidRPr="00D51878">
        <w:rPr>
          <w:rFonts w:eastAsia="Arial" w:cs="Times New Roman"/>
          <w:color w:val="auto"/>
          <w:sz w:val="24"/>
          <w:szCs w:val="24"/>
        </w:rPr>
        <w:t xml:space="preserve"> atıfta bulunulan </w:t>
      </w:r>
      <w:r w:rsidR="00C41C88">
        <w:rPr>
          <w:rFonts w:eastAsia="Arial" w:cs="Times New Roman"/>
          <w:color w:val="auto"/>
          <w:sz w:val="24"/>
          <w:szCs w:val="24"/>
        </w:rPr>
        <w:t>dokümantasyonun eşlik ettiği</w:t>
      </w:r>
      <w:r w:rsidRPr="00D51878">
        <w:rPr>
          <w:rFonts w:eastAsia="Arial" w:cs="Times New Roman"/>
          <w:color w:val="auto"/>
          <w:sz w:val="24"/>
          <w:szCs w:val="24"/>
        </w:rPr>
        <w:t xml:space="preserve"> bir başvuru/bildirim</w:t>
      </w:r>
      <w:r w:rsidRPr="00D51878">
        <w:rPr>
          <w:rStyle w:val="DipnotBavurusu"/>
          <w:rFonts w:eastAsia="Arial" w:cs="Times New Roman"/>
          <w:color w:val="auto"/>
          <w:sz w:val="24"/>
          <w:szCs w:val="24"/>
        </w:rPr>
        <w:footnoteReference w:id="1"/>
      </w:r>
      <w:r w:rsidRPr="00D51878">
        <w:rPr>
          <w:rFonts w:eastAsia="Arial" w:cs="Times New Roman"/>
          <w:color w:val="auto"/>
          <w:sz w:val="24"/>
          <w:szCs w:val="24"/>
        </w:rPr>
        <w:t xml:space="preserve"> sunması gerekmektedir. </w:t>
      </w:r>
      <w:r w:rsidR="003331E8" w:rsidRPr="00D51878">
        <w:rPr>
          <w:rFonts w:eastAsia="Arial" w:cs="Times New Roman"/>
          <w:color w:val="auto"/>
          <w:sz w:val="24"/>
          <w:szCs w:val="24"/>
        </w:rPr>
        <w:t xml:space="preserve">Başvuru/bildirim, IVDR </w:t>
      </w:r>
      <w:r w:rsidR="00C41C88">
        <w:rPr>
          <w:rFonts w:eastAsia="Arial" w:cs="Times New Roman"/>
          <w:color w:val="auto"/>
          <w:sz w:val="24"/>
          <w:szCs w:val="24"/>
        </w:rPr>
        <w:t xml:space="preserve">Madde </w:t>
      </w:r>
      <w:r w:rsidR="003331E8" w:rsidRPr="00D51878">
        <w:rPr>
          <w:rFonts w:eastAsia="Arial" w:cs="Times New Roman"/>
          <w:color w:val="auto"/>
          <w:sz w:val="24"/>
          <w:szCs w:val="24"/>
        </w:rPr>
        <w:t>69</w:t>
      </w:r>
      <w:r w:rsidR="00C41C88">
        <w:rPr>
          <w:rFonts w:eastAsia="Arial" w:cs="Times New Roman"/>
          <w:color w:val="auto"/>
          <w:sz w:val="24"/>
          <w:szCs w:val="24"/>
        </w:rPr>
        <w:t>’da</w:t>
      </w:r>
      <w:r w:rsidR="003331E8" w:rsidRPr="00D51878">
        <w:rPr>
          <w:rFonts w:eastAsia="Arial" w:cs="Times New Roman"/>
          <w:color w:val="auto"/>
          <w:sz w:val="24"/>
          <w:szCs w:val="24"/>
        </w:rPr>
        <w:t xml:space="preserve"> atıfta bulunulan elektronik sistem aracılığıyla yapılmalıdır.</w:t>
      </w:r>
    </w:p>
    <w:p w:rsidR="00D502B2" w:rsidRPr="00D51878" w:rsidRDefault="00D502B2">
      <w:pPr>
        <w:spacing w:after="0" w:line="360" w:lineRule="auto"/>
        <w:ind w:right="-12"/>
        <w:rPr>
          <w:rFonts w:eastAsia="Arial" w:cs="Times New Roman"/>
          <w:color w:val="auto"/>
          <w:sz w:val="24"/>
          <w:szCs w:val="24"/>
        </w:rPr>
      </w:pPr>
    </w:p>
    <w:p w:rsidR="00D502B2" w:rsidRPr="00D51878" w:rsidRDefault="0043001F">
      <w:pPr>
        <w:spacing w:after="0" w:line="360" w:lineRule="auto"/>
        <w:ind w:right="-12"/>
        <w:rPr>
          <w:rFonts w:eastAsia="Arial" w:cs="Times New Roman"/>
          <w:color w:val="auto"/>
          <w:sz w:val="24"/>
          <w:szCs w:val="24"/>
        </w:rPr>
      </w:pPr>
      <w:r w:rsidRPr="00D51878">
        <w:rPr>
          <w:rFonts w:eastAsia="Arial" w:cs="Times New Roman"/>
          <w:color w:val="auto"/>
          <w:sz w:val="24"/>
          <w:szCs w:val="24"/>
        </w:rPr>
        <w:t xml:space="preserve">Ek olarak, </w:t>
      </w:r>
      <w:r w:rsidR="006B4046" w:rsidRPr="00D51878">
        <w:rPr>
          <w:rFonts w:eastAsia="Arial" w:cs="Times New Roman"/>
          <w:color w:val="auto"/>
          <w:sz w:val="24"/>
          <w:szCs w:val="24"/>
        </w:rPr>
        <w:t xml:space="preserve">bir performans çalışmasının </w:t>
      </w:r>
      <w:proofErr w:type="gramStart"/>
      <w:r w:rsidR="006B4046" w:rsidRPr="00D51878">
        <w:rPr>
          <w:rFonts w:eastAsia="Arial" w:cs="Times New Roman"/>
          <w:color w:val="auto"/>
          <w:sz w:val="24"/>
          <w:szCs w:val="24"/>
        </w:rPr>
        <w:t>sponsorunun</w:t>
      </w:r>
      <w:proofErr w:type="gramEnd"/>
      <w:r w:rsidR="006B4046" w:rsidRPr="00D51878">
        <w:rPr>
          <w:rFonts w:eastAsia="Arial" w:cs="Times New Roman"/>
          <w:color w:val="auto"/>
          <w:sz w:val="24"/>
          <w:szCs w:val="24"/>
        </w:rPr>
        <w:t>, bir performans çalışmasın</w:t>
      </w:r>
      <w:r w:rsidR="00C41C88">
        <w:rPr>
          <w:rFonts w:eastAsia="Arial" w:cs="Times New Roman"/>
          <w:color w:val="auto"/>
          <w:sz w:val="24"/>
          <w:szCs w:val="24"/>
        </w:rPr>
        <w:t>d</w:t>
      </w:r>
      <w:r w:rsidR="006B4046" w:rsidRPr="00D51878">
        <w:rPr>
          <w:rFonts w:eastAsia="Arial" w:cs="Times New Roman"/>
          <w:color w:val="auto"/>
          <w:sz w:val="24"/>
          <w:szCs w:val="24"/>
        </w:rPr>
        <w:t>a gönüllülerin güvenliği, sağlığı veya hakları üzerinde ya</w:t>
      </w:r>
      <w:r w:rsidR="00C41C88">
        <w:rPr>
          <w:rFonts w:eastAsia="Arial" w:cs="Times New Roman"/>
          <w:color w:val="auto"/>
          <w:sz w:val="24"/>
          <w:szCs w:val="24"/>
        </w:rPr>
        <w:t xml:space="preserve"> da</w:t>
      </w:r>
      <w:r w:rsidR="006B4046" w:rsidRPr="00D51878">
        <w:rPr>
          <w:rFonts w:eastAsia="Arial" w:cs="Times New Roman"/>
          <w:color w:val="auto"/>
          <w:sz w:val="24"/>
          <w:szCs w:val="24"/>
        </w:rPr>
        <w:t xml:space="preserve"> çalışma</w:t>
      </w:r>
      <w:r w:rsidR="00C41C88">
        <w:rPr>
          <w:rFonts w:eastAsia="Arial" w:cs="Times New Roman"/>
          <w:color w:val="auto"/>
          <w:sz w:val="24"/>
          <w:szCs w:val="24"/>
        </w:rPr>
        <w:t>dan elde edilen</w:t>
      </w:r>
      <w:r w:rsidR="006B4046" w:rsidRPr="00D51878">
        <w:rPr>
          <w:rFonts w:eastAsia="Arial" w:cs="Times New Roman"/>
          <w:color w:val="auto"/>
          <w:sz w:val="24"/>
          <w:szCs w:val="24"/>
        </w:rPr>
        <w:t xml:space="preserve"> verilerin </w:t>
      </w:r>
      <w:r w:rsidR="00C41C88">
        <w:rPr>
          <w:rFonts w:eastAsia="Arial" w:cs="Times New Roman"/>
          <w:color w:val="auto"/>
          <w:sz w:val="24"/>
          <w:szCs w:val="24"/>
        </w:rPr>
        <w:t>tutarlı</w:t>
      </w:r>
      <w:r w:rsidR="00C41C88" w:rsidRPr="00D51878">
        <w:rPr>
          <w:rFonts w:eastAsia="Arial" w:cs="Times New Roman"/>
          <w:color w:val="auto"/>
          <w:sz w:val="24"/>
          <w:szCs w:val="24"/>
        </w:rPr>
        <w:t xml:space="preserve">lığı </w:t>
      </w:r>
      <w:r w:rsidR="006B4046" w:rsidRPr="00D51878">
        <w:rPr>
          <w:rFonts w:eastAsia="Arial" w:cs="Times New Roman"/>
          <w:color w:val="auto"/>
          <w:sz w:val="24"/>
          <w:szCs w:val="24"/>
        </w:rPr>
        <w:t xml:space="preserve">veya güvenilirliği üzerinde önemli bir etkiye sahip olması muhtemel değişiklikler </w:t>
      </w:r>
      <w:r w:rsidR="00C41C88">
        <w:rPr>
          <w:rFonts w:eastAsia="Arial" w:cs="Times New Roman"/>
          <w:color w:val="auto"/>
          <w:sz w:val="24"/>
          <w:szCs w:val="24"/>
        </w:rPr>
        <w:t>yapmayı</w:t>
      </w:r>
      <w:r w:rsidR="00C41C88" w:rsidRPr="00D51878">
        <w:rPr>
          <w:rFonts w:eastAsia="Arial" w:cs="Times New Roman"/>
          <w:color w:val="auto"/>
          <w:sz w:val="24"/>
          <w:szCs w:val="24"/>
        </w:rPr>
        <w:t xml:space="preserve"> </w:t>
      </w:r>
      <w:r w:rsidR="006B4046" w:rsidRPr="00D51878">
        <w:rPr>
          <w:rFonts w:eastAsia="Arial" w:cs="Times New Roman"/>
          <w:color w:val="auto"/>
          <w:sz w:val="24"/>
          <w:szCs w:val="24"/>
        </w:rPr>
        <w:t>amaçl</w:t>
      </w:r>
      <w:r w:rsidR="00C41C88">
        <w:rPr>
          <w:rFonts w:eastAsia="Arial" w:cs="Times New Roman"/>
          <w:color w:val="auto"/>
          <w:sz w:val="24"/>
          <w:szCs w:val="24"/>
        </w:rPr>
        <w:t>a</w:t>
      </w:r>
      <w:r w:rsidR="006B4046" w:rsidRPr="00D51878">
        <w:rPr>
          <w:rFonts w:eastAsia="Arial" w:cs="Times New Roman"/>
          <w:color w:val="auto"/>
          <w:sz w:val="24"/>
          <w:szCs w:val="24"/>
        </w:rPr>
        <w:t xml:space="preserve">rsa, performans çalışmasının yürütülmekte olduğu veya yürütüleceği Üye </w:t>
      </w:r>
      <w:r w:rsidR="00C41C88">
        <w:rPr>
          <w:rFonts w:eastAsia="Arial" w:cs="Times New Roman"/>
          <w:color w:val="auto"/>
          <w:sz w:val="24"/>
          <w:szCs w:val="24"/>
        </w:rPr>
        <w:t>Ülkeyi/Ülke</w:t>
      </w:r>
      <w:r w:rsidR="006B4046" w:rsidRPr="00D51878">
        <w:rPr>
          <w:rFonts w:eastAsia="Arial" w:cs="Times New Roman"/>
          <w:color w:val="auto"/>
          <w:sz w:val="24"/>
          <w:szCs w:val="24"/>
        </w:rPr>
        <w:t xml:space="preserve">leri </w:t>
      </w:r>
      <w:r w:rsidR="00C41C88">
        <w:rPr>
          <w:rFonts w:eastAsia="Arial" w:cs="Times New Roman"/>
          <w:color w:val="auto"/>
          <w:sz w:val="24"/>
          <w:szCs w:val="24"/>
        </w:rPr>
        <w:t>aynı elektronik sistem vasıtası</w:t>
      </w:r>
      <w:r w:rsidR="00C41C88" w:rsidRPr="00D51878">
        <w:rPr>
          <w:rFonts w:eastAsia="Arial" w:cs="Times New Roman"/>
          <w:color w:val="auto"/>
          <w:sz w:val="24"/>
          <w:szCs w:val="24"/>
        </w:rPr>
        <w:t xml:space="preserve">yla </w:t>
      </w:r>
      <w:r w:rsidR="006B4046" w:rsidRPr="00D51878">
        <w:rPr>
          <w:rFonts w:eastAsia="Arial" w:cs="Times New Roman"/>
          <w:color w:val="auto"/>
          <w:sz w:val="24"/>
          <w:szCs w:val="24"/>
        </w:rPr>
        <w:t>bilgilendirmesi gerekir</w:t>
      </w:r>
      <w:r w:rsidR="006B4046" w:rsidRPr="00D51878">
        <w:rPr>
          <w:rStyle w:val="DipnotBavurusu"/>
          <w:rFonts w:eastAsia="Arial" w:cs="Times New Roman"/>
          <w:color w:val="auto"/>
          <w:sz w:val="24"/>
          <w:szCs w:val="24"/>
        </w:rPr>
        <w:footnoteReference w:id="2"/>
      </w:r>
      <w:r w:rsidR="00C41C88">
        <w:rPr>
          <w:rFonts w:eastAsia="Arial" w:cs="Times New Roman"/>
          <w:color w:val="auto"/>
          <w:sz w:val="24"/>
          <w:szCs w:val="24"/>
        </w:rPr>
        <w:t>.</w:t>
      </w:r>
    </w:p>
    <w:p w:rsidR="00D502B2" w:rsidRPr="00D51878" w:rsidRDefault="00D502B2">
      <w:pPr>
        <w:spacing w:after="0" w:line="360" w:lineRule="auto"/>
        <w:ind w:right="-12"/>
        <w:rPr>
          <w:rFonts w:eastAsia="Arial" w:cs="Times New Roman"/>
          <w:color w:val="auto"/>
          <w:sz w:val="24"/>
          <w:szCs w:val="24"/>
        </w:rPr>
      </w:pPr>
    </w:p>
    <w:p w:rsidR="00D502B2" w:rsidRPr="00D51878" w:rsidRDefault="00AE4F6B">
      <w:pPr>
        <w:spacing w:after="0" w:line="360" w:lineRule="auto"/>
        <w:ind w:right="-12"/>
        <w:rPr>
          <w:rFonts w:eastAsia="Arial" w:cs="Times New Roman"/>
          <w:color w:val="auto"/>
          <w:sz w:val="24"/>
          <w:szCs w:val="24"/>
        </w:rPr>
      </w:pPr>
      <w:r>
        <w:rPr>
          <w:rFonts w:eastAsia="Arial" w:cs="Times New Roman"/>
          <w:color w:val="auto"/>
          <w:sz w:val="24"/>
          <w:szCs w:val="24"/>
        </w:rPr>
        <w:t>T</w:t>
      </w:r>
      <w:r w:rsidRPr="00D51878">
        <w:rPr>
          <w:rFonts w:eastAsia="Arial" w:cs="Times New Roman"/>
          <w:color w:val="auto"/>
          <w:sz w:val="24"/>
          <w:szCs w:val="24"/>
        </w:rPr>
        <w:t>ıbbi cihazlar</w:t>
      </w:r>
      <w:r>
        <w:rPr>
          <w:rFonts w:eastAsia="Arial" w:cs="Times New Roman"/>
          <w:color w:val="auto"/>
          <w:sz w:val="24"/>
          <w:szCs w:val="24"/>
        </w:rPr>
        <w:t>a ilişkin</w:t>
      </w:r>
      <w:r w:rsidRPr="00D51878">
        <w:rPr>
          <w:rFonts w:eastAsia="Arial" w:cs="Times New Roman"/>
          <w:color w:val="auto"/>
          <w:sz w:val="24"/>
          <w:szCs w:val="24"/>
        </w:rPr>
        <w:t xml:space="preserve"> </w:t>
      </w:r>
      <w:r w:rsidR="00D502B2" w:rsidRPr="00D51878">
        <w:rPr>
          <w:rFonts w:eastAsia="Arial" w:cs="Times New Roman"/>
          <w:color w:val="auto"/>
          <w:sz w:val="24"/>
          <w:szCs w:val="24"/>
        </w:rPr>
        <w:t xml:space="preserve">Avrupa veri tabanının (EUDAMED) yokluğunda, IVDR ile ilgili performans çalışması </w:t>
      </w:r>
      <w:proofErr w:type="gramStart"/>
      <w:r w:rsidR="00D502B2" w:rsidRPr="00D51878">
        <w:rPr>
          <w:rFonts w:eastAsia="Arial" w:cs="Times New Roman"/>
          <w:color w:val="auto"/>
          <w:sz w:val="24"/>
          <w:szCs w:val="24"/>
        </w:rPr>
        <w:t>prosedürlerini</w:t>
      </w:r>
      <w:proofErr w:type="gramEnd"/>
      <w:r w:rsidR="00D502B2" w:rsidRPr="00D51878">
        <w:rPr>
          <w:rFonts w:eastAsia="Arial" w:cs="Times New Roman"/>
          <w:color w:val="auto"/>
          <w:sz w:val="24"/>
          <w:szCs w:val="24"/>
        </w:rPr>
        <w:t xml:space="preserve"> desteklemek </w:t>
      </w:r>
      <w:r w:rsidR="00D50EC2">
        <w:rPr>
          <w:rFonts w:eastAsia="Arial" w:cs="Times New Roman"/>
          <w:color w:val="auto"/>
          <w:sz w:val="24"/>
          <w:szCs w:val="24"/>
        </w:rPr>
        <w:t>üzere</w:t>
      </w:r>
      <w:r w:rsidR="00D50EC2" w:rsidRPr="00D51878">
        <w:rPr>
          <w:rFonts w:eastAsia="Arial" w:cs="Times New Roman"/>
          <w:color w:val="auto"/>
          <w:sz w:val="24"/>
          <w:szCs w:val="24"/>
        </w:rPr>
        <w:t xml:space="preserve"> </w:t>
      </w:r>
      <w:r w:rsidR="00D502B2" w:rsidRPr="00D51878">
        <w:rPr>
          <w:rFonts w:eastAsia="Arial" w:cs="Times New Roman"/>
          <w:color w:val="auto"/>
          <w:sz w:val="24"/>
          <w:szCs w:val="24"/>
        </w:rPr>
        <w:t xml:space="preserve">bir dizi performans çalışması başvuru/bildirim </w:t>
      </w:r>
      <w:r w:rsidR="00D50EC2">
        <w:rPr>
          <w:rFonts w:eastAsia="Arial" w:cs="Times New Roman"/>
          <w:color w:val="auto"/>
          <w:sz w:val="24"/>
          <w:szCs w:val="24"/>
        </w:rPr>
        <w:t>dokümanı</w:t>
      </w:r>
      <w:r w:rsidR="00D502B2" w:rsidRPr="00D51878">
        <w:rPr>
          <w:rFonts w:eastAsia="Arial" w:cs="Times New Roman"/>
          <w:color w:val="auto"/>
          <w:sz w:val="24"/>
          <w:szCs w:val="24"/>
        </w:rPr>
        <w:t xml:space="preserve"> oluşturulmuştur – bkz. </w:t>
      </w:r>
      <w:r w:rsidR="00D502B2" w:rsidRPr="00D51878">
        <w:rPr>
          <w:rFonts w:eastAsia="Arial" w:cs="Times New Roman"/>
          <w:b/>
          <w:color w:val="auto"/>
          <w:sz w:val="24"/>
          <w:szCs w:val="24"/>
        </w:rPr>
        <w:t>MDCG 2022-19</w:t>
      </w:r>
      <w:r w:rsidR="00D502B2" w:rsidRPr="00D51878">
        <w:rPr>
          <w:rFonts w:eastAsia="Arial" w:cs="Times New Roman"/>
          <w:color w:val="auto"/>
          <w:sz w:val="24"/>
          <w:szCs w:val="24"/>
        </w:rPr>
        <w:t>.</w:t>
      </w:r>
    </w:p>
    <w:p w:rsidR="00D502B2" w:rsidRPr="00D51878" w:rsidRDefault="00D502B2">
      <w:pPr>
        <w:spacing w:after="0" w:line="360" w:lineRule="auto"/>
        <w:ind w:right="-12"/>
        <w:rPr>
          <w:rFonts w:eastAsia="Arial" w:cs="Times New Roman"/>
          <w:color w:val="auto"/>
          <w:sz w:val="24"/>
          <w:szCs w:val="24"/>
        </w:rPr>
      </w:pPr>
    </w:p>
    <w:p w:rsidR="00D502B2" w:rsidRPr="00D51878" w:rsidRDefault="00D502B2">
      <w:pPr>
        <w:spacing w:after="0" w:line="360" w:lineRule="auto"/>
        <w:ind w:right="-12"/>
        <w:rPr>
          <w:rFonts w:eastAsia="Arial" w:cs="Times New Roman"/>
          <w:color w:val="auto"/>
          <w:sz w:val="24"/>
          <w:szCs w:val="24"/>
        </w:rPr>
      </w:pPr>
      <w:r w:rsidRPr="00D51878">
        <w:rPr>
          <w:rFonts w:eastAsia="Arial" w:cs="Times New Roman"/>
          <w:color w:val="auto"/>
          <w:sz w:val="24"/>
          <w:szCs w:val="24"/>
        </w:rPr>
        <w:t xml:space="preserve">Bu </w:t>
      </w:r>
      <w:r w:rsidR="00D50EC2">
        <w:rPr>
          <w:rFonts w:eastAsia="Arial" w:cs="Times New Roman"/>
          <w:color w:val="auto"/>
          <w:sz w:val="24"/>
          <w:szCs w:val="24"/>
        </w:rPr>
        <w:t>dokümanlara</w:t>
      </w:r>
      <w:r w:rsidR="00D50EC2" w:rsidRPr="00D51878">
        <w:rPr>
          <w:rFonts w:eastAsia="Arial" w:cs="Times New Roman"/>
          <w:color w:val="auto"/>
          <w:sz w:val="24"/>
          <w:szCs w:val="24"/>
        </w:rPr>
        <w:t xml:space="preserve"> </w:t>
      </w:r>
      <w:r w:rsidR="00D50EC2">
        <w:rPr>
          <w:rFonts w:eastAsia="Arial" w:cs="Times New Roman"/>
          <w:color w:val="auto"/>
          <w:sz w:val="24"/>
          <w:szCs w:val="24"/>
        </w:rPr>
        <w:t>ilave etmek</w:t>
      </w:r>
      <w:r w:rsidR="00D50EC2" w:rsidRPr="00D51878">
        <w:rPr>
          <w:rFonts w:eastAsia="Arial" w:cs="Times New Roman"/>
          <w:color w:val="auto"/>
          <w:sz w:val="24"/>
          <w:szCs w:val="24"/>
        </w:rPr>
        <w:t xml:space="preserve"> </w:t>
      </w:r>
      <w:r w:rsidR="00D50EC2">
        <w:rPr>
          <w:rFonts w:eastAsia="Arial" w:cs="Times New Roman"/>
          <w:color w:val="auto"/>
          <w:sz w:val="24"/>
          <w:szCs w:val="24"/>
        </w:rPr>
        <w:t>üzere</w:t>
      </w:r>
      <w:r w:rsidRPr="00D51878">
        <w:rPr>
          <w:rFonts w:eastAsia="Arial" w:cs="Times New Roman"/>
          <w:color w:val="auto"/>
          <w:sz w:val="24"/>
          <w:szCs w:val="24"/>
        </w:rPr>
        <w:t>, “(AB) 2017/746 sayılı Tüzük kapsamında</w:t>
      </w:r>
      <w:r w:rsidR="00D50EC2">
        <w:rPr>
          <w:rFonts w:eastAsia="Arial" w:cs="Times New Roman"/>
          <w:color w:val="auto"/>
          <w:sz w:val="24"/>
          <w:szCs w:val="24"/>
        </w:rPr>
        <w:t>ki</w:t>
      </w:r>
      <w:r w:rsidRPr="00D51878">
        <w:rPr>
          <w:rFonts w:eastAsia="Arial" w:cs="Times New Roman"/>
          <w:color w:val="auto"/>
          <w:sz w:val="24"/>
          <w:szCs w:val="24"/>
        </w:rPr>
        <w:t xml:space="preserve"> performans çalışmasında önemli değişiklik” için bir şablon da </w:t>
      </w:r>
      <w:r w:rsidR="00D50EC2">
        <w:rPr>
          <w:rFonts w:eastAsia="Arial" w:cs="Times New Roman"/>
          <w:color w:val="auto"/>
          <w:sz w:val="24"/>
          <w:szCs w:val="24"/>
        </w:rPr>
        <w:t>sunulmuştur</w:t>
      </w:r>
      <w:r w:rsidRPr="00D51878">
        <w:rPr>
          <w:rFonts w:eastAsia="Arial" w:cs="Times New Roman"/>
          <w:color w:val="auto"/>
          <w:sz w:val="24"/>
          <w:szCs w:val="24"/>
        </w:rPr>
        <w:t>.</w:t>
      </w:r>
    </w:p>
    <w:p w:rsidR="00D502B2" w:rsidRPr="00D51878" w:rsidRDefault="00D502B2">
      <w:pPr>
        <w:spacing w:after="0" w:line="360" w:lineRule="auto"/>
        <w:ind w:right="-12"/>
        <w:rPr>
          <w:rFonts w:eastAsia="Arial" w:cs="Times New Roman"/>
          <w:color w:val="auto"/>
          <w:sz w:val="24"/>
          <w:szCs w:val="24"/>
        </w:rPr>
      </w:pPr>
    </w:p>
    <w:p w:rsidR="00D502B2" w:rsidRDefault="00D502B2">
      <w:pPr>
        <w:spacing w:after="0" w:line="360" w:lineRule="auto"/>
        <w:ind w:right="-12"/>
        <w:rPr>
          <w:rFonts w:eastAsia="Arial" w:cs="Times New Roman"/>
          <w:color w:val="auto"/>
          <w:sz w:val="24"/>
          <w:szCs w:val="24"/>
        </w:rPr>
      </w:pPr>
      <w:r w:rsidRPr="00D51878">
        <w:rPr>
          <w:rFonts w:eastAsia="Arial" w:cs="Times New Roman"/>
          <w:color w:val="auto"/>
          <w:sz w:val="24"/>
          <w:szCs w:val="24"/>
        </w:rPr>
        <w:t>Mümkün olduğu ölçüde, performans çalışması</w:t>
      </w:r>
      <w:r w:rsidR="00D50EC2">
        <w:rPr>
          <w:rFonts w:eastAsia="Arial" w:cs="Times New Roman"/>
          <w:color w:val="auto"/>
          <w:sz w:val="24"/>
          <w:szCs w:val="24"/>
        </w:rPr>
        <w:t>nın</w:t>
      </w:r>
      <w:r w:rsidRPr="00D51878">
        <w:rPr>
          <w:rFonts w:eastAsia="Arial" w:cs="Times New Roman"/>
          <w:color w:val="auto"/>
          <w:sz w:val="24"/>
          <w:szCs w:val="24"/>
        </w:rPr>
        <w:t xml:space="preserve"> </w:t>
      </w:r>
      <w:r w:rsidR="00D50EC2">
        <w:rPr>
          <w:rFonts w:eastAsia="Arial" w:cs="Times New Roman"/>
          <w:color w:val="auto"/>
          <w:sz w:val="24"/>
          <w:szCs w:val="24"/>
        </w:rPr>
        <w:t>değişikliği</w:t>
      </w:r>
      <w:r w:rsidR="00D50EC2" w:rsidRPr="00D51878">
        <w:rPr>
          <w:rFonts w:eastAsia="Arial" w:cs="Times New Roman"/>
          <w:color w:val="auto"/>
          <w:sz w:val="24"/>
          <w:szCs w:val="24"/>
        </w:rPr>
        <w:t xml:space="preserve"> </w:t>
      </w:r>
      <w:r w:rsidRPr="00D51878">
        <w:rPr>
          <w:rFonts w:eastAsia="Arial" w:cs="Times New Roman"/>
          <w:color w:val="auto"/>
          <w:sz w:val="24"/>
          <w:szCs w:val="24"/>
        </w:rPr>
        <w:t>formu, geliştirilmekte olan EUDAMED sistemi ile aynı veri alanlarını içerir.</w:t>
      </w:r>
      <w:r w:rsidR="00D50EC2">
        <w:rPr>
          <w:rFonts w:eastAsia="Arial" w:cs="Times New Roman"/>
          <w:color w:val="auto"/>
          <w:sz w:val="24"/>
          <w:szCs w:val="24"/>
        </w:rPr>
        <w:t xml:space="preserve"> </w:t>
      </w:r>
    </w:p>
    <w:p w:rsidR="00D50EC2" w:rsidRPr="00D51878" w:rsidRDefault="00D50EC2">
      <w:pPr>
        <w:spacing w:after="0" w:line="360" w:lineRule="auto"/>
        <w:ind w:right="-12"/>
        <w:rPr>
          <w:rFonts w:eastAsia="Arial" w:cs="Times New Roman"/>
          <w:color w:val="auto"/>
          <w:sz w:val="24"/>
          <w:szCs w:val="24"/>
        </w:rPr>
      </w:pPr>
    </w:p>
    <w:p w:rsidR="00D51878" w:rsidRPr="00D51878" w:rsidRDefault="00D51878" w:rsidP="00D51878">
      <w:pPr>
        <w:spacing w:after="0" w:line="360" w:lineRule="auto"/>
        <w:ind w:right="-12"/>
        <w:rPr>
          <w:rFonts w:eastAsia="Arial" w:cs="Times New Roman"/>
          <w:color w:val="auto"/>
          <w:sz w:val="24"/>
          <w:szCs w:val="24"/>
        </w:rPr>
      </w:pPr>
      <w:r w:rsidRPr="00D51878">
        <w:rPr>
          <w:rFonts w:eastAsia="Arial" w:cs="Times New Roman"/>
          <w:color w:val="auto"/>
          <w:sz w:val="24"/>
          <w:szCs w:val="24"/>
        </w:rPr>
        <w:t>Şablonların kullanımı</w:t>
      </w:r>
    </w:p>
    <w:p w:rsidR="00D51878" w:rsidRDefault="00D51878" w:rsidP="00D51878">
      <w:pPr>
        <w:spacing w:after="0" w:line="360" w:lineRule="auto"/>
        <w:ind w:right="-12"/>
        <w:rPr>
          <w:rFonts w:eastAsia="Arial" w:cs="Times New Roman"/>
          <w:color w:val="auto"/>
          <w:sz w:val="24"/>
          <w:szCs w:val="24"/>
        </w:rPr>
      </w:pPr>
      <w:r w:rsidRPr="00D51878">
        <w:rPr>
          <w:rFonts w:eastAsia="Arial" w:cs="Times New Roman"/>
          <w:color w:val="auto"/>
          <w:sz w:val="24"/>
          <w:szCs w:val="24"/>
        </w:rPr>
        <w:t xml:space="preserve">Bu </w:t>
      </w:r>
      <w:r w:rsidR="00D50EC2">
        <w:rPr>
          <w:rFonts w:eastAsia="Arial" w:cs="Times New Roman"/>
          <w:color w:val="auto"/>
          <w:sz w:val="24"/>
          <w:szCs w:val="24"/>
        </w:rPr>
        <w:t>dokümanın</w:t>
      </w:r>
      <w:r w:rsidR="00D50EC2" w:rsidRPr="00D51878">
        <w:rPr>
          <w:rFonts w:eastAsia="Arial" w:cs="Times New Roman"/>
          <w:color w:val="auto"/>
          <w:sz w:val="24"/>
          <w:szCs w:val="24"/>
        </w:rPr>
        <w:t xml:space="preserve"> </w:t>
      </w:r>
      <w:r w:rsidRPr="00D51878">
        <w:rPr>
          <w:rFonts w:eastAsia="Arial" w:cs="Times New Roman"/>
          <w:color w:val="auto"/>
          <w:sz w:val="24"/>
          <w:szCs w:val="24"/>
        </w:rPr>
        <w:t xml:space="preserve">kolaylaştırıcı olması amaçlanmıştır ve yetkili </w:t>
      </w:r>
      <w:r>
        <w:rPr>
          <w:rFonts w:eastAsia="Arial" w:cs="Times New Roman"/>
          <w:color w:val="auto"/>
          <w:sz w:val="24"/>
          <w:szCs w:val="24"/>
        </w:rPr>
        <w:t>otoriteler</w:t>
      </w:r>
      <w:r w:rsidRPr="00D51878">
        <w:rPr>
          <w:rFonts w:eastAsia="Arial" w:cs="Times New Roman"/>
          <w:color w:val="auto"/>
          <w:sz w:val="24"/>
          <w:szCs w:val="24"/>
        </w:rPr>
        <w:t xml:space="preserve"> </w:t>
      </w:r>
      <w:r w:rsidR="00D50EC2">
        <w:rPr>
          <w:rFonts w:eastAsia="Arial" w:cs="Times New Roman"/>
          <w:color w:val="auto"/>
          <w:sz w:val="24"/>
          <w:szCs w:val="24"/>
        </w:rPr>
        <w:t>il</w:t>
      </w:r>
      <w:r w:rsidRPr="00D51878">
        <w:rPr>
          <w:rFonts w:eastAsia="Arial" w:cs="Times New Roman"/>
          <w:color w:val="auto"/>
          <w:sz w:val="24"/>
          <w:szCs w:val="24"/>
        </w:rPr>
        <w:t xml:space="preserve">e sponsorlar tarafından kullanılması teşvik edilmektedir, ancak herhangi bir </w:t>
      </w:r>
      <w:proofErr w:type="gramStart"/>
      <w:r w:rsidR="00D50EC2">
        <w:rPr>
          <w:rFonts w:eastAsia="Arial" w:cs="Times New Roman"/>
          <w:color w:val="auto"/>
          <w:sz w:val="24"/>
          <w:szCs w:val="24"/>
        </w:rPr>
        <w:t>spesifik</w:t>
      </w:r>
      <w:proofErr w:type="gramEnd"/>
      <w:r w:rsidR="00D50EC2" w:rsidRPr="00D51878">
        <w:rPr>
          <w:rFonts w:eastAsia="Arial" w:cs="Times New Roman"/>
          <w:color w:val="auto"/>
          <w:sz w:val="24"/>
          <w:szCs w:val="24"/>
        </w:rPr>
        <w:t xml:space="preserve"> </w:t>
      </w:r>
      <w:r w:rsidRPr="00D51878">
        <w:rPr>
          <w:rFonts w:eastAsia="Arial" w:cs="Times New Roman"/>
          <w:color w:val="auto"/>
          <w:sz w:val="24"/>
          <w:szCs w:val="24"/>
        </w:rPr>
        <w:t xml:space="preserve">ulusal gereklilik için performans çalışmasının yürütülmesinin planlandığı Üye </w:t>
      </w:r>
      <w:r w:rsidR="00D50EC2">
        <w:rPr>
          <w:rFonts w:eastAsia="Arial" w:cs="Times New Roman"/>
          <w:color w:val="auto"/>
          <w:sz w:val="24"/>
          <w:szCs w:val="24"/>
        </w:rPr>
        <w:t>Ülke ile</w:t>
      </w:r>
      <w:r w:rsidR="00D50EC2" w:rsidRPr="00D51878">
        <w:rPr>
          <w:rFonts w:eastAsia="Arial" w:cs="Times New Roman"/>
          <w:color w:val="auto"/>
          <w:sz w:val="24"/>
          <w:szCs w:val="24"/>
        </w:rPr>
        <w:t xml:space="preserve"> </w:t>
      </w:r>
      <w:r w:rsidRPr="00D51878">
        <w:rPr>
          <w:rFonts w:eastAsia="Arial" w:cs="Times New Roman"/>
          <w:color w:val="auto"/>
          <w:sz w:val="24"/>
          <w:szCs w:val="24"/>
        </w:rPr>
        <w:t>ayrı ayrı kontrol edilmesi önemlidir.</w:t>
      </w:r>
      <w:r>
        <w:rPr>
          <w:rFonts w:eastAsia="Arial" w:cs="Times New Roman"/>
          <w:color w:val="auto"/>
          <w:sz w:val="24"/>
          <w:szCs w:val="24"/>
        </w:rPr>
        <w:t xml:space="preserve"> </w:t>
      </w:r>
      <w:r w:rsidRPr="00D51878">
        <w:rPr>
          <w:rFonts w:eastAsia="Arial" w:cs="Times New Roman"/>
          <w:color w:val="auto"/>
          <w:sz w:val="24"/>
          <w:szCs w:val="24"/>
        </w:rPr>
        <w:t>Performans çalışmaları</w:t>
      </w:r>
      <w:r w:rsidR="00D50EC2">
        <w:rPr>
          <w:rFonts w:eastAsia="Arial" w:cs="Times New Roman"/>
          <w:color w:val="auto"/>
          <w:sz w:val="24"/>
          <w:szCs w:val="24"/>
        </w:rPr>
        <w:t>na</w:t>
      </w:r>
      <w:r w:rsidRPr="00D51878">
        <w:rPr>
          <w:rFonts w:eastAsia="Arial" w:cs="Times New Roman"/>
          <w:color w:val="auto"/>
          <w:sz w:val="24"/>
          <w:szCs w:val="24"/>
        </w:rPr>
        <w:t xml:space="preserve"> </w:t>
      </w:r>
      <w:r w:rsidR="00D50EC2">
        <w:rPr>
          <w:rFonts w:eastAsia="Arial" w:cs="Times New Roman"/>
          <w:color w:val="auto"/>
          <w:sz w:val="24"/>
          <w:szCs w:val="24"/>
        </w:rPr>
        <w:t xml:space="preserve">yönelik </w:t>
      </w:r>
      <w:r w:rsidRPr="00D51878">
        <w:rPr>
          <w:rFonts w:eastAsia="Arial" w:cs="Times New Roman"/>
          <w:color w:val="auto"/>
          <w:sz w:val="24"/>
          <w:szCs w:val="24"/>
        </w:rPr>
        <w:t xml:space="preserve">EUDAMED </w:t>
      </w:r>
      <w:proofErr w:type="gramStart"/>
      <w:r w:rsidRPr="00D51878">
        <w:rPr>
          <w:rFonts w:eastAsia="Arial" w:cs="Times New Roman"/>
          <w:color w:val="auto"/>
          <w:sz w:val="24"/>
          <w:szCs w:val="24"/>
        </w:rPr>
        <w:t>modülü</w:t>
      </w:r>
      <w:proofErr w:type="gramEnd"/>
      <w:r w:rsidRPr="00D51878">
        <w:rPr>
          <w:rFonts w:eastAsia="Arial" w:cs="Times New Roman"/>
          <w:color w:val="auto"/>
          <w:sz w:val="24"/>
          <w:szCs w:val="24"/>
        </w:rPr>
        <w:t xml:space="preserve"> tamamen işlevsel hale geldiğinde bu şablonun geri çekil</w:t>
      </w:r>
      <w:r>
        <w:rPr>
          <w:rFonts w:eastAsia="Arial" w:cs="Times New Roman"/>
          <w:color w:val="auto"/>
          <w:sz w:val="24"/>
          <w:szCs w:val="24"/>
        </w:rPr>
        <w:t xml:space="preserve">mesi </w:t>
      </w:r>
      <w:r w:rsidRPr="00D51878">
        <w:rPr>
          <w:rFonts w:eastAsia="Arial" w:cs="Times New Roman"/>
          <w:color w:val="auto"/>
          <w:sz w:val="24"/>
          <w:szCs w:val="24"/>
        </w:rPr>
        <w:t>öngörülmektedir.</w:t>
      </w:r>
    </w:p>
    <w:p w:rsidR="00D51878" w:rsidRDefault="00D51878" w:rsidP="00D51878">
      <w:pPr>
        <w:spacing w:after="0" w:line="360" w:lineRule="auto"/>
        <w:ind w:right="-12"/>
        <w:rPr>
          <w:rFonts w:eastAsia="Arial" w:cs="Times New Roman"/>
          <w:color w:val="auto"/>
          <w:sz w:val="24"/>
          <w:szCs w:val="24"/>
        </w:rPr>
      </w:pPr>
    </w:p>
    <w:p w:rsidR="00D51878" w:rsidRPr="00D51878" w:rsidRDefault="00D51878" w:rsidP="00D51878">
      <w:pPr>
        <w:spacing w:after="0" w:line="360" w:lineRule="auto"/>
        <w:ind w:right="-12"/>
        <w:rPr>
          <w:rFonts w:eastAsia="Arial" w:cs="Times New Roman"/>
          <w:color w:val="auto"/>
          <w:sz w:val="24"/>
          <w:szCs w:val="24"/>
        </w:rPr>
      </w:pPr>
    </w:p>
    <w:p w:rsidR="00D51878" w:rsidRPr="00D51878" w:rsidRDefault="00D51878" w:rsidP="00D51878">
      <w:pPr>
        <w:pStyle w:val="Balk1"/>
        <w:rPr>
          <w:color w:val="4472C4" w:themeColor="accent5"/>
        </w:rPr>
      </w:pPr>
      <w:bookmarkStart w:id="3" w:name="_Toc153804872"/>
      <w:r w:rsidRPr="00D51878">
        <w:rPr>
          <w:color w:val="4472C4" w:themeColor="accent5"/>
        </w:rPr>
        <w:t>3 Ek – Şablonlar</w:t>
      </w:r>
      <w:bookmarkEnd w:id="3"/>
    </w:p>
    <w:tbl>
      <w:tblPr>
        <w:tblStyle w:val="TabloKlavuzu"/>
        <w:tblW w:w="0" w:type="auto"/>
        <w:tblInd w:w="10" w:type="dxa"/>
        <w:tblLook w:val="04A0" w:firstRow="1" w:lastRow="0" w:firstColumn="1" w:lastColumn="0" w:noHBand="0" w:noVBand="1"/>
      </w:tblPr>
      <w:tblGrid>
        <w:gridCol w:w="7107"/>
        <w:gridCol w:w="7108"/>
      </w:tblGrid>
      <w:tr w:rsidR="00D51878" w:rsidTr="00D51878">
        <w:tc>
          <w:tcPr>
            <w:tcW w:w="7112" w:type="dxa"/>
          </w:tcPr>
          <w:p w:rsidR="00D51878" w:rsidRPr="00D51878" w:rsidRDefault="00D51878" w:rsidP="00D51878">
            <w:pPr>
              <w:jc w:val="center"/>
              <w:rPr>
                <w:rFonts w:cs="Times New Roman"/>
                <w:color w:val="auto"/>
              </w:rPr>
            </w:pPr>
            <w:r w:rsidRPr="00D51878">
              <w:rPr>
                <w:rFonts w:cs="Times New Roman"/>
                <w:b/>
                <w:color w:val="auto"/>
                <w:sz w:val="28"/>
              </w:rPr>
              <w:t>Başlık</w:t>
            </w:r>
          </w:p>
        </w:tc>
        <w:tc>
          <w:tcPr>
            <w:tcW w:w="7113" w:type="dxa"/>
          </w:tcPr>
          <w:p w:rsidR="00D51878" w:rsidRPr="00D51878" w:rsidRDefault="00D50EC2" w:rsidP="00D51878">
            <w:pPr>
              <w:jc w:val="center"/>
              <w:rPr>
                <w:rFonts w:cs="Times New Roman"/>
                <w:b/>
                <w:color w:val="auto"/>
                <w:sz w:val="28"/>
              </w:rPr>
            </w:pPr>
            <w:r>
              <w:rPr>
                <w:rFonts w:cs="Times New Roman"/>
                <w:b/>
                <w:color w:val="auto"/>
                <w:sz w:val="28"/>
              </w:rPr>
              <w:t>Doküman</w:t>
            </w:r>
          </w:p>
        </w:tc>
      </w:tr>
      <w:tr w:rsidR="00D51878" w:rsidTr="00780A0B">
        <w:tc>
          <w:tcPr>
            <w:tcW w:w="7112" w:type="dxa"/>
            <w:vAlign w:val="center"/>
          </w:tcPr>
          <w:p w:rsidR="00D51878" w:rsidRDefault="00780A0B" w:rsidP="00780A0B">
            <w:pPr>
              <w:jc w:val="center"/>
              <w:rPr>
                <w:color w:val="auto"/>
              </w:rPr>
            </w:pPr>
            <w:r>
              <w:rPr>
                <w:color w:val="auto"/>
              </w:rPr>
              <w:t xml:space="preserve">İn </w:t>
            </w:r>
            <w:proofErr w:type="spellStart"/>
            <w:r>
              <w:rPr>
                <w:color w:val="auto"/>
              </w:rPr>
              <w:t>vitro</w:t>
            </w:r>
            <w:proofErr w:type="spellEnd"/>
            <w:r>
              <w:rPr>
                <w:color w:val="auto"/>
              </w:rPr>
              <w:t xml:space="preserve"> tanı tıbbi cihazlarına ilişkin </w:t>
            </w:r>
            <w:r w:rsidRPr="00780A0B">
              <w:rPr>
                <w:color w:val="auto"/>
              </w:rPr>
              <w:t>(AB) 2017/746 sayılı Tüzük kapsamındaki performans çalışmasında önemli değişiklik</w:t>
            </w:r>
          </w:p>
        </w:tc>
        <w:permStart w:id="1816800107" w:edGrp="everyone"/>
        <w:tc>
          <w:tcPr>
            <w:tcW w:w="7113" w:type="dxa"/>
            <w:vAlign w:val="center"/>
          </w:tcPr>
          <w:p w:rsidR="00D51878" w:rsidRDefault="005B5C76" w:rsidP="00780A0B">
            <w:pPr>
              <w:jc w:val="center"/>
              <w:rPr>
                <w:color w:val="auto"/>
              </w:rPr>
            </w:pPr>
            <w:r>
              <w:rPr>
                <w:color w:val="auto"/>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0.25pt" o:ole="">
                  <v:imagedata r:id="rId14" o:title=""/>
                </v:shape>
                <o:OLEObject Type="Embed" ProgID="Acrobat.Document.DC" ShapeID="_x0000_i1028" DrawAspect="Icon" ObjectID="_1765003786" r:id="rId15"/>
              </w:object>
            </w:r>
            <w:permEnd w:id="1816800107"/>
          </w:p>
        </w:tc>
      </w:tr>
    </w:tbl>
    <w:p w:rsidR="00D51878" w:rsidRPr="00D51878" w:rsidRDefault="00D51878" w:rsidP="00D51878">
      <w:pPr>
        <w:rPr>
          <w:color w:val="auto"/>
        </w:rPr>
      </w:pPr>
    </w:p>
    <w:sectPr w:rsidR="00D51878" w:rsidRPr="00D51878" w:rsidSect="00D502B2">
      <w:pgSz w:w="16838" w:h="11906" w:orient="landscape"/>
      <w:pgMar w:top="1440" w:right="1752" w:bottom="1134" w:left="851" w:header="78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8E" w:rsidRDefault="009A498E">
      <w:pPr>
        <w:spacing w:after="0" w:line="240" w:lineRule="auto"/>
      </w:pPr>
      <w:r>
        <w:separator/>
      </w:r>
    </w:p>
  </w:endnote>
  <w:endnote w:type="continuationSeparator" w:id="0">
    <w:p w:rsidR="009A498E" w:rsidRDefault="009A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A" w:rsidRDefault="005768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76538"/>
      <w:docPartObj>
        <w:docPartGallery w:val="Page Numbers (Bottom of Page)"/>
        <w:docPartUnique/>
      </w:docPartObj>
    </w:sdtPr>
    <w:sdtEndPr/>
    <w:sdtContent>
      <w:p w:rsidR="005E5E12" w:rsidRDefault="005E5E12" w:rsidP="00B75947">
        <w:pPr>
          <w:pStyle w:val="AltBilgi"/>
          <w:jc w:val="center"/>
        </w:pPr>
        <w:r>
          <w:fldChar w:fldCharType="begin"/>
        </w:r>
        <w:r>
          <w:instrText>PAGE   \* MERGEFORMAT</w:instrText>
        </w:r>
        <w:r>
          <w:fldChar w:fldCharType="separate"/>
        </w:r>
        <w:r w:rsidR="005B5C76">
          <w:rPr>
            <w:noProof/>
          </w:rPr>
          <w:t>2</w:t>
        </w:r>
        <w:r>
          <w:fldChar w:fldCharType="end"/>
        </w:r>
        <w:r>
          <w:t xml:space="preserve"> / </w:t>
        </w:r>
        <w:r w:rsidR="00160355">
          <w:t>5</w:t>
        </w:r>
      </w:p>
    </w:sdtContent>
  </w:sdt>
  <w:p w:rsidR="005E5E12" w:rsidRDefault="005E5E1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A" w:rsidRDefault="005768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8E" w:rsidRDefault="009A498E">
      <w:pPr>
        <w:spacing w:after="5"/>
        <w:ind w:left="1"/>
        <w:jc w:val="left"/>
      </w:pPr>
      <w:r>
        <w:separator/>
      </w:r>
    </w:p>
  </w:footnote>
  <w:footnote w:type="continuationSeparator" w:id="0">
    <w:p w:rsidR="009A498E" w:rsidRDefault="009A498E">
      <w:pPr>
        <w:spacing w:after="5"/>
        <w:ind w:left="1"/>
        <w:jc w:val="left"/>
      </w:pPr>
      <w:r>
        <w:continuationSeparator/>
      </w:r>
    </w:p>
  </w:footnote>
  <w:footnote w:id="1">
    <w:p w:rsidR="004964A1" w:rsidRPr="0043001F" w:rsidRDefault="004964A1">
      <w:pPr>
        <w:pStyle w:val="DipnotMetni"/>
      </w:pPr>
      <w:r>
        <w:rPr>
          <w:rStyle w:val="DipnotBavurusu"/>
        </w:rPr>
        <w:footnoteRef/>
      </w:r>
      <w:r>
        <w:t xml:space="preserve"> </w:t>
      </w:r>
      <w:r w:rsidRPr="0043001F">
        <w:rPr>
          <w:rFonts w:cs="Times New Roman"/>
          <w:sz w:val="18"/>
        </w:rPr>
        <w:t xml:space="preserve">Performans çalışması başvurusu (IVDR Madde 66(1)), PMPF çalışması bildirimi </w:t>
      </w:r>
      <w:r w:rsidR="003E171E">
        <w:rPr>
          <w:rFonts w:cs="Times New Roman"/>
          <w:sz w:val="18"/>
        </w:rPr>
        <w:t>(</w:t>
      </w:r>
      <w:r w:rsidRPr="0043001F">
        <w:rPr>
          <w:rFonts w:cs="Times New Roman"/>
          <w:sz w:val="18"/>
        </w:rPr>
        <w:t>IVDR Madde 70(1)</w:t>
      </w:r>
      <w:r w:rsidR="003E171E">
        <w:rPr>
          <w:rFonts w:cs="Times New Roman"/>
          <w:sz w:val="18"/>
        </w:rPr>
        <w:t>)</w:t>
      </w:r>
      <w:r w:rsidRPr="0043001F">
        <w:rPr>
          <w:rFonts w:cs="Times New Roman"/>
          <w:sz w:val="18"/>
        </w:rPr>
        <w:t>.</w:t>
      </w:r>
    </w:p>
  </w:footnote>
  <w:footnote w:id="2">
    <w:p w:rsidR="006B4046" w:rsidRDefault="006B4046">
      <w:pPr>
        <w:pStyle w:val="DipnotMetni"/>
      </w:pPr>
      <w:r>
        <w:rPr>
          <w:rStyle w:val="DipnotBavurusu"/>
        </w:rPr>
        <w:footnoteRef/>
      </w:r>
      <w:r>
        <w:t xml:space="preserve"> </w:t>
      </w:r>
      <w:r w:rsidRPr="006B4046">
        <w:rPr>
          <w:rFonts w:cs="Times New Roman"/>
          <w:sz w:val="18"/>
        </w:rPr>
        <w:t xml:space="preserve">IVDR </w:t>
      </w:r>
      <w:r w:rsidR="001A1839">
        <w:rPr>
          <w:rFonts w:cs="Times New Roman"/>
          <w:sz w:val="18"/>
        </w:rPr>
        <w:t>M</w:t>
      </w:r>
      <w:r w:rsidRPr="006B4046">
        <w:rPr>
          <w:rFonts w:cs="Times New Roman"/>
          <w:sz w:val="18"/>
        </w:rPr>
        <w:t>adde 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A" w:rsidRDefault="005B5C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765485" o:spid="_x0000_s4098" type="#_x0000_t136" style="position:absolute;left:0;text-align:left;margin-left:0;margin-top:0;width:493.4pt;height:164.4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gridCol w:w="4819"/>
    </w:tblGrid>
    <w:tr w:rsidR="005768FA" w:rsidRPr="008B7DB7" w:rsidTr="005768FA">
      <w:tc>
        <w:tcPr>
          <w:tcW w:w="9346" w:type="dxa"/>
          <w:vAlign w:val="center"/>
        </w:tcPr>
        <w:p w:rsidR="005768FA" w:rsidRPr="008B7DB7" w:rsidRDefault="005768FA" w:rsidP="005768FA">
          <w:pPr>
            <w:jc w:val="left"/>
            <w:rPr>
              <w:rFonts w:eastAsia="Arial" w:cs="Arial"/>
              <w:b/>
              <w:color w:val="002060"/>
              <w:sz w:val="40"/>
            </w:rPr>
          </w:pPr>
          <w:r w:rsidRPr="008B7DB7">
            <w:rPr>
              <w:rFonts w:eastAsia="Arial" w:cs="Arial"/>
              <w:b/>
              <w:color w:val="002060"/>
              <w:sz w:val="40"/>
            </w:rPr>
            <w:t>Tıbbi Cihaz</w:t>
          </w:r>
        </w:p>
      </w:tc>
      <w:tc>
        <w:tcPr>
          <w:tcW w:w="4819" w:type="dxa"/>
          <w:vAlign w:val="center"/>
        </w:tcPr>
        <w:p w:rsidR="005768FA" w:rsidRPr="008B7DB7" w:rsidRDefault="005768FA" w:rsidP="005768FA">
          <w:pPr>
            <w:jc w:val="left"/>
            <w:rPr>
              <w:rFonts w:eastAsia="Arial" w:cs="Arial"/>
              <w:b/>
              <w:color w:val="002060"/>
              <w:sz w:val="40"/>
            </w:rPr>
          </w:pPr>
        </w:p>
      </w:tc>
    </w:tr>
    <w:tr w:rsidR="005768FA" w:rsidRPr="008B7DB7" w:rsidTr="005768FA">
      <w:tc>
        <w:tcPr>
          <w:tcW w:w="9346" w:type="dxa"/>
          <w:tcBorders>
            <w:bottom w:val="single" w:sz="4" w:space="0" w:color="auto"/>
          </w:tcBorders>
          <w:vAlign w:val="bottom"/>
        </w:tcPr>
        <w:p w:rsidR="005768FA" w:rsidRPr="008B7DB7" w:rsidRDefault="005768FA" w:rsidP="005768FA">
          <w:pPr>
            <w:spacing w:after="20"/>
            <w:jc w:val="left"/>
            <w:rPr>
              <w:rFonts w:eastAsia="Arial" w:cs="Arial"/>
              <w:color w:val="002060"/>
              <w:sz w:val="40"/>
            </w:rPr>
          </w:pPr>
          <w:r w:rsidRPr="008B7DB7">
            <w:rPr>
              <w:rFonts w:eastAsia="Arial" w:cs="Arial"/>
              <w:color w:val="002060"/>
              <w:sz w:val="24"/>
            </w:rPr>
            <w:t>Tıbbi Cihaz Koordinasyon Grubu Dokümanı</w:t>
          </w:r>
        </w:p>
      </w:tc>
      <w:tc>
        <w:tcPr>
          <w:tcW w:w="4819" w:type="dxa"/>
          <w:tcBorders>
            <w:bottom w:val="single" w:sz="4" w:space="0" w:color="auto"/>
          </w:tcBorders>
          <w:vAlign w:val="center"/>
        </w:tcPr>
        <w:p w:rsidR="005768FA" w:rsidRPr="008B7DB7" w:rsidRDefault="005768FA" w:rsidP="005768FA">
          <w:pPr>
            <w:jc w:val="right"/>
            <w:rPr>
              <w:rFonts w:eastAsia="Arial" w:cs="Arial"/>
              <w:color w:val="002060"/>
              <w:sz w:val="24"/>
            </w:rPr>
          </w:pPr>
          <w:r w:rsidRPr="008B7DB7">
            <w:rPr>
              <w:rFonts w:eastAsia="Arial" w:cs="Arial"/>
              <w:color w:val="002060"/>
              <w:sz w:val="24"/>
            </w:rPr>
            <w:t>MDCG 202</w:t>
          </w:r>
          <w:r>
            <w:rPr>
              <w:rFonts w:eastAsia="Arial" w:cs="Arial"/>
              <w:color w:val="002060"/>
              <w:sz w:val="24"/>
            </w:rPr>
            <w:t>2</w:t>
          </w:r>
          <w:r w:rsidRPr="008B7DB7">
            <w:rPr>
              <w:rFonts w:eastAsia="Arial" w:cs="Arial"/>
              <w:color w:val="002060"/>
              <w:sz w:val="24"/>
            </w:rPr>
            <w:t>-</w:t>
          </w:r>
          <w:r>
            <w:rPr>
              <w:rFonts w:eastAsia="Arial" w:cs="Arial"/>
              <w:color w:val="002060"/>
              <w:sz w:val="24"/>
            </w:rPr>
            <w:t>20</w:t>
          </w:r>
        </w:p>
      </w:tc>
    </w:tr>
    <w:tr w:rsidR="005768FA" w:rsidRPr="008B7DB7" w:rsidTr="005768FA">
      <w:tc>
        <w:tcPr>
          <w:tcW w:w="9346" w:type="dxa"/>
          <w:tcBorders>
            <w:top w:val="single" w:sz="4" w:space="0" w:color="auto"/>
          </w:tcBorders>
        </w:tcPr>
        <w:p w:rsidR="005768FA" w:rsidRPr="008B7DB7" w:rsidRDefault="005768FA" w:rsidP="005768FA">
          <w:pPr>
            <w:tabs>
              <w:tab w:val="left" w:pos="7160"/>
            </w:tabs>
            <w:jc w:val="left"/>
            <w:rPr>
              <w:rFonts w:eastAsia="Arial" w:cs="Arial"/>
              <w:b/>
              <w:color w:val="002060"/>
              <w:sz w:val="40"/>
            </w:rPr>
          </w:pPr>
          <w:r w:rsidRPr="008B7DB7">
            <w:rPr>
              <w:rFonts w:eastAsia="Arial" w:cs="Arial"/>
              <w:color w:val="002060"/>
              <w:sz w:val="18"/>
              <w:szCs w:val="16"/>
            </w:rPr>
            <w:t>(</w:t>
          </w:r>
          <w:proofErr w:type="spellStart"/>
          <w:r w:rsidRPr="008B7DB7">
            <w:rPr>
              <w:rFonts w:cs="Arial"/>
              <w:sz w:val="18"/>
              <w:szCs w:val="16"/>
            </w:rPr>
            <w:t>Translated</w:t>
          </w:r>
          <w:proofErr w:type="spellEnd"/>
          <w:r w:rsidRPr="008B7DB7">
            <w:rPr>
              <w:rFonts w:cs="Arial"/>
              <w:sz w:val="18"/>
              <w:szCs w:val="16"/>
            </w:rPr>
            <w:t xml:space="preserve"> </w:t>
          </w:r>
          <w:proofErr w:type="spellStart"/>
          <w:r w:rsidRPr="008B7DB7">
            <w:rPr>
              <w:rFonts w:cs="Arial"/>
              <w:sz w:val="18"/>
              <w:szCs w:val="16"/>
            </w:rPr>
            <w:t>guidance</w:t>
          </w:r>
          <w:proofErr w:type="spellEnd"/>
          <w:r w:rsidRPr="008B7DB7">
            <w:rPr>
              <w:rFonts w:cs="Arial"/>
              <w:sz w:val="18"/>
              <w:szCs w:val="16"/>
            </w:rPr>
            <w:t xml:space="preserve"> </w:t>
          </w:r>
          <w:proofErr w:type="spellStart"/>
          <w:r w:rsidRPr="008B7DB7">
            <w:rPr>
              <w:rFonts w:cs="Arial"/>
              <w:sz w:val="18"/>
              <w:szCs w:val="16"/>
            </w:rPr>
            <w:t>by</w:t>
          </w:r>
          <w:proofErr w:type="spellEnd"/>
          <w:r w:rsidRPr="008B7DB7">
            <w:rPr>
              <w:rFonts w:cs="Arial"/>
              <w:sz w:val="18"/>
              <w:szCs w:val="16"/>
            </w:rPr>
            <w:t xml:space="preserve"> </w:t>
          </w:r>
          <w:proofErr w:type="spellStart"/>
          <w:r w:rsidRPr="008B7DB7">
            <w:rPr>
              <w:rFonts w:cs="Arial"/>
              <w:sz w:val="18"/>
              <w:szCs w:val="16"/>
            </w:rPr>
            <w:t>Turkish</w:t>
          </w:r>
          <w:proofErr w:type="spellEnd"/>
          <w:r w:rsidRPr="008B7DB7">
            <w:rPr>
              <w:rFonts w:cs="Arial"/>
              <w:sz w:val="18"/>
              <w:szCs w:val="16"/>
            </w:rPr>
            <w:t xml:space="preserve"> </w:t>
          </w:r>
          <w:proofErr w:type="spellStart"/>
          <w:r w:rsidRPr="008B7DB7">
            <w:rPr>
              <w:rFonts w:cs="Arial"/>
              <w:sz w:val="18"/>
              <w:szCs w:val="16"/>
            </w:rPr>
            <w:t>Medicines</w:t>
          </w:r>
          <w:proofErr w:type="spellEnd"/>
          <w:r w:rsidRPr="008B7DB7">
            <w:rPr>
              <w:rFonts w:cs="Arial"/>
              <w:sz w:val="18"/>
              <w:szCs w:val="16"/>
            </w:rPr>
            <w:t xml:space="preserve"> </w:t>
          </w:r>
          <w:proofErr w:type="spellStart"/>
          <w:r w:rsidRPr="008B7DB7">
            <w:rPr>
              <w:rFonts w:cs="Arial"/>
              <w:sz w:val="18"/>
              <w:szCs w:val="16"/>
            </w:rPr>
            <w:t>and</w:t>
          </w:r>
          <w:proofErr w:type="spellEnd"/>
          <w:r w:rsidRPr="008B7DB7">
            <w:rPr>
              <w:rFonts w:cs="Arial"/>
              <w:sz w:val="18"/>
              <w:szCs w:val="16"/>
            </w:rPr>
            <w:t xml:space="preserve"> </w:t>
          </w:r>
          <w:proofErr w:type="spellStart"/>
          <w:r w:rsidRPr="008B7DB7">
            <w:rPr>
              <w:rFonts w:cs="Arial"/>
              <w:sz w:val="18"/>
              <w:szCs w:val="16"/>
            </w:rPr>
            <w:t>Medical</w:t>
          </w:r>
          <w:proofErr w:type="spellEnd"/>
          <w:r w:rsidRPr="008B7DB7">
            <w:rPr>
              <w:rFonts w:cs="Arial"/>
              <w:sz w:val="18"/>
              <w:szCs w:val="16"/>
            </w:rPr>
            <w:t xml:space="preserve"> </w:t>
          </w:r>
          <w:proofErr w:type="spellStart"/>
          <w:r w:rsidRPr="008B7DB7">
            <w:rPr>
              <w:rFonts w:cs="Arial"/>
              <w:sz w:val="18"/>
              <w:szCs w:val="16"/>
            </w:rPr>
            <w:t>Devices</w:t>
          </w:r>
          <w:proofErr w:type="spellEnd"/>
          <w:r w:rsidRPr="008B7DB7">
            <w:rPr>
              <w:rFonts w:cs="Arial"/>
              <w:sz w:val="18"/>
              <w:szCs w:val="16"/>
            </w:rPr>
            <w:t xml:space="preserve"> </w:t>
          </w:r>
          <w:proofErr w:type="spellStart"/>
          <w:r w:rsidRPr="008B7DB7">
            <w:rPr>
              <w:rFonts w:cs="Arial"/>
              <w:sz w:val="18"/>
              <w:szCs w:val="16"/>
            </w:rPr>
            <w:t>Agency</w:t>
          </w:r>
          <w:proofErr w:type="spellEnd"/>
          <w:r w:rsidRPr="008B7DB7">
            <w:rPr>
              <w:rFonts w:cs="Arial"/>
              <w:sz w:val="18"/>
              <w:szCs w:val="16"/>
            </w:rPr>
            <w:t xml:space="preserve">) </w:t>
          </w:r>
        </w:p>
      </w:tc>
      <w:tc>
        <w:tcPr>
          <w:tcW w:w="4819" w:type="dxa"/>
          <w:tcBorders>
            <w:top w:val="single" w:sz="4" w:space="0" w:color="auto"/>
          </w:tcBorders>
          <w:vAlign w:val="center"/>
        </w:tcPr>
        <w:p w:rsidR="005768FA" w:rsidRPr="008B7DB7" w:rsidRDefault="005768FA" w:rsidP="005768FA">
          <w:pPr>
            <w:jc w:val="left"/>
            <w:rPr>
              <w:rFonts w:eastAsia="Arial" w:cs="Arial"/>
              <w:b/>
              <w:color w:val="002060"/>
              <w:sz w:val="18"/>
            </w:rPr>
          </w:pPr>
        </w:p>
      </w:tc>
    </w:tr>
  </w:tbl>
  <w:p w:rsidR="0007225F" w:rsidRDefault="005B5C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765486" o:spid="_x0000_s4099" type="#_x0000_t136" style="position:absolute;left:0;text-align:left;margin-left:0;margin-top:0;width:493.4pt;height:164.45pt;rotation:315;z-index:-25165312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A" w:rsidRDefault="005B5C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765484" o:spid="_x0000_s4097" type="#_x0000_t136" style="position:absolute;left:0;text-align:left;margin-left:0;margin-top:0;width:493.4pt;height:164.45pt;rotation:315;z-index:-25165721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2"/>
    <w:multiLevelType w:val="hybridMultilevel"/>
    <w:tmpl w:val="6010E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0620C"/>
    <w:multiLevelType w:val="hybridMultilevel"/>
    <w:tmpl w:val="44F25A00"/>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 w15:restartNumberingAfterBreak="0">
    <w:nsid w:val="0EB726D9"/>
    <w:multiLevelType w:val="hybridMultilevel"/>
    <w:tmpl w:val="AF6C5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AE3C7F"/>
    <w:multiLevelType w:val="hybridMultilevel"/>
    <w:tmpl w:val="CC462848"/>
    <w:lvl w:ilvl="0" w:tplc="95CC1A86">
      <w:start w:val="1"/>
      <w:numFmt w:val="upperRoman"/>
      <w:lvlText w:val="%1."/>
      <w:lvlJc w:val="left"/>
      <w:pPr>
        <w:ind w:left="721" w:hanging="720"/>
      </w:pPr>
      <w:rPr>
        <w:rFonts w:hint="default"/>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4" w15:restartNumberingAfterBreak="0">
    <w:nsid w:val="14CD3B24"/>
    <w:multiLevelType w:val="hybridMultilevel"/>
    <w:tmpl w:val="1F36DF74"/>
    <w:lvl w:ilvl="0" w:tplc="74521132">
      <w:start w:val="1"/>
      <w:numFmt w:val="bullet"/>
      <w:lvlText w:val=""/>
      <w:lvlJc w:val="left"/>
      <w:pPr>
        <w:ind w:left="1441" w:hanging="360"/>
      </w:pPr>
      <w:rPr>
        <w:rFonts w:ascii="Symbol" w:hAnsi="Symbol" w:hint="default"/>
      </w:rPr>
    </w:lvl>
    <w:lvl w:ilvl="1" w:tplc="041F0003" w:tentative="1">
      <w:start w:val="1"/>
      <w:numFmt w:val="bullet"/>
      <w:lvlText w:val="o"/>
      <w:lvlJc w:val="left"/>
      <w:pPr>
        <w:ind w:left="2161" w:hanging="360"/>
      </w:pPr>
      <w:rPr>
        <w:rFonts w:ascii="Courier New" w:hAnsi="Courier New" w:cs="Courier New" w:hint="default"/>
      </w:rPr>
    </w:lvl>
    <w:lvl w:ilvl="2" w:tplc="041F0005" w:tentative="1">
      <w:start w:val="1"/>
      <w:numFmt w:val="bullet"/>
      <w:lvlText w:val=""/>
      <w:lvlJc w:val="left"/>
      <w:pPr>
        <w:ind w:left="2881" w:hanging="360"/>
      </w:pPr>
      <w:rPr>
        <w:rFonts w:ascii="Wingdings" w:hAnsi="Wingdings" w:hint="default"/>
      </w:rPr>
    </w:lvl>
    <w:lvl w:ilvl="3" w:tplc="041F0001" w:tentative="1">
      <w:start w:val="1"/>
      <w:numFmt w:val="bullet"/>
      <w:lvlText w:val=""/>
      <w:lvlJc w:val="left"/>
      <w:pPr>
        <w:ind w:left="3601" w:hanging="360"/>
      </w:pPr>
      <w:rPr>
        <w:rFonts w:ascii="Symbol" w:hAnsi="Symbol" w:hint="default"/>
      </w:rPr>
    </w:lvl>
    <w:lvl w:ilvl="4" w:tplc="041F0003" w:tentative="1">
      <w:start w:val="1"/>
      <w:numFmt w:val="bullet"/>
      <w:lvlText w:val="o"/>
      <w:lvlJc w:val="left"/>
      <w:pPr>
        <w:ind w:left="4321" w:hanging="360"/>
      </w:pPr>
      <w:rPr>
        <w:rFonts w:ascii="Courier New" w:hAnsi="Courier New" w:cs="Courier New" w:hint="default"/>
      </w:rPr>
    </w:lvl>
    <w:lvl w:ilvl="5" w:tplc="041F0005" w:tentative="1">
      <w:start w:val="1"/>
      <w:numFmt w:val="bullet"/>
      <w:lvlText w:val=""/>
      <w:lvlJc w:val="left"/>
      <w:pPr>
        <w:ind w:left="5041" w:hanging="360"/>
      </w:pPr>
      <w:rPr>
        <w:rFonts w:ascii="Wingdings" w:hAnsi="Wingdings" w:hint="default"/>
      </w:rPr>
    </w:lvl>
    <w:lvl w:ilvl="6" w:tplc="041F0001" w:tentative="1">
      <w:start w:val="1"/>
      <w:numFmt w:val="bullet"/>
      <w:lvlText w:val=""/>
      <w:lvlJc w:val="left"/>
      <w:pPr>
        <w:ind w:left="5761" w:hanging="360"/>
      </w:pPr>
      <w:rPr>
        <w:rFonts w:ascii="Symbol" w:hAnsi="Symbol" w:hint="default"/>
      </w:rPr>
    </w:lvl>
    <w:lvl w:ilvl="7" w:tplc="041F0003" w:tentative="1">
      <w:start w:val="1"/>
      <w:numFmt w:val="bullet"/>
      <w:lvlText w:val="o"/>
      <w:lvlJc w:val="left"/>
      <w:pPr>
        <w:ind w:left="6481" w:hanging="360"/>
      </w:pPr>
      <w:rPr>
        <w:rFonts w:ascii="Courier New" w:hAnsi="Courier New" w:cs="Courier New" w:hint="default"/>
      </w:rPr>
    </w:lvl>
    <w:lvl w:ilvl="8" w:tplc="041F0005" w:tentative="1">
      <w:start w:val="1"/>
      <w:numFmt w:val="bullet"/>
      <w:lvlText w:val=""/>
      <w:lvlJc w:val="left"/>
      <w:pPr>
        <w:ind w:left="7201" w:hanging="360"/>
      </w:pPr>
      <w:rPr>
        <w:rFonts w:ascii="Wingdings" w:hAnsi="Wingdings" w:hint="default"/>
      </w:rPr>
    </w:lvl>
  </w:abstractNum>
  <w:abstractNum w:abstractNumId="5" w15:restartNumberingAfterBreak="0">
    <w:nsid w:val="200A4F20"/>
    <w:multiLevelType w:val="hybridMultilevel"/>
    <w:tmpl w:val="786671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860996"/>
    <w:multiLevelType w:val="hybridMultilevel"/>
    <w:tmpl w:val="F18AE9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1C1177"/>
    <w:multiLevelType w:val="hybridMultilevel"/>
    <w:tmpl w:val="91529AC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8" w15:restartNumberingAfterBreak="0">
    <w:nsid w:val="34CF1BF9"/>
    <w:multiLevelType w:val="hybridMultilevel"/>
    <w:tmpl w:val="B6F46416"/>
    <w:lvl w:ilvl="0" w:tplc="041F0017">
      <w:start w:val="1"/>
      <w:numFmt w:val="lowerLetter"/>
      <w:lvlText w:val="%1)"/>
      <w:lvlJc w:val="left"/>
      <w:pPr>
        <w:ind w:left="1441" w:hanging="360"/>
      </w:pPr>
    </w:lvl>
    <w:lvl w:ilvl="1" w:tplc="041F0019" w:tentative="1">
      <w:start w:val="1"/>
      <w:numFmt w:val="lowerLetter"/>
      <w:lvlText w:val="%2."/>
      <w:lvlJc w:val="left"/>
      <w:pPr>
        <w:ind w:left="2161" w:hanging="360"/>
      </w:pPr>
    </w:lvl>
    <w:lvl w:ilvl="2" w:tplc="041F001B" w:tentative="1">
      <w:start w:val="1"/>
      <w:numFmt w:val="lowerRoman"/>
      <w:lvlText w:val="%3."/>
      <w:lvlJc w:val="right"/>
      <w:pPr>
        <w:ind w:left="2881" w:hanging="180"/>
      </w:pPr>
    </w:lvl>
    <w:lvl w:ilvl="3" w:tplc="041F000F" w:tentative="1">
      <w:start w:val="1"/>
      <w:numFmt w:val="decimal"/>
      <w:lvlText w:val="%4."/>
      <w:lvlJc w:val="left"/>
      <w:pPr>
        <w:ind w:left="3601" w:hanging="360"/>
      </w:pPr>
    </w:lvl>
    <w:lvl w:ilvl="4" w:tplc="041F0019" w:tentative="1">
      <w:start w:val="1"/>
      <w:numFmt w:val="lowerLetter"/>
      <w:lvlText w:val="%5."/>
      <w:lvlJc w:val="left"/>
      <w:pPr>
        <w:ind w:left="4321" w:hanging="360"/>
      </w:pPr>
    </w:lvl>
    <w:lvl w:ilvl="5" w:tplc="041F001B" w:tentative="1">
      <w:start w:val="1"/>
      <w:numFmt w:val="lowerRoman"/>
      <w:lvlText w:val="%6."/>
      <w:lvlJc w:val="right"/>
      <w:pPr>
        <w:ind w:left="5041" w:hanging="180"/>
      </w:pPr>
    </w:lvl>
    <w:lvl w:ilvl="6" w:tplc="041F000F" w:tentative="1">
      <w:start w:val="1"/>
      <w:numFmt w:val="decimal"/>
      <w:lvlText w:val="%7."/>
      <w:lvlJc w:val="left"/>
      <w:pPr>
        <w:ind w:left="5761" w:hanging="360"/>
      </w:pPr>
    </w:lvl>
    <w:lvl w:ilvl="7" w:tplc="041F0019" w:tentative="1">
      <w:start w:val="1"/>
      <w:numFmt w:val="lowerLetter"/>
      <w:lvlText w:val="%8."/>
      <w:lvlJc w:val="left"/>
      <w:pPr>
        <w:ind w:left="6481" w:hanging="360"/>
      </w:pPr>
    </w:lvl>
    <w:lvl w:ilvl="8" w:tplc="041F001B" w:tentative="1">
      <w:start w:val="1"/>
      <w:numFmt w:val="lowerRoman"/>
      <w:lvlText w:val="%9."/>
      <w:lvlJc w:val="right"/>
      <w:pPr>
        <w:ind w:left="7201" w:hanging="180"/>
      </w:pPr>
    </w:lvl>
  </w:abstractNum>
  <w:abstractNum w:abstractNumId="9" w15:restartNumberingAfterBreak="0">
    <w:nsid w:val="37B84202"/>
    <w:multiLevelType w:val="hybridMultilevel"/>
    <w:tmpl w:val="C804F99A"/>
    <w:lvl w:ilvl="0" w:tplc="041F0017">
      <w:start w:val="1"/>
      <w:numFmt w:val="lowerLetter"/>
      <w:lvlText w:val="%1)"/>
      <w:lvlJc w:val="left"/>
      <w:pPr>
        <w:ind w:left="721" w:hanging="360"/>
      </w:p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10" w15:restartNumberingAfterBreak="0">
    <w:nsid w:val="3A7B5166"/>
    <w:multiLevelType w:val="hybridMultilevel"/>
    <w:tmpl w:val="F2CC3E50"/>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1" w15:restartNumberingAfterBreak="0">
    <w:nsid w:val="46D52155"/>
    <w:multiLevelType w:val="hybridMultilevel"/>
    <w:tmpl w:val="FEB64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941369"/>
    <w:multiLevelType w:val="hybridMultilevel"/>
    <w:tmpl w:val="8B863476"/>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3" w15:restartNumberingAfterBreak="0">
    <w:nsid w:val="636B5D1E"/>
    <w:multiLevelType w:val="hybridMultilevel"/>
    <w:tmpl w:val="BD3C5E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6A2064"/>
    <w:multiLevelType w:val="hybridMultilevel"/>
    <w:tmpl w:val="56125386"/>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5" w15:restartNumberingAfterBreak="0">
    <w:nsid w:val="6A046206"/>
    <w:multiLevelType w:val="hybridMultilevel"/>
    <w:tmpl w:val="81947930"/>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6" w15:restartNumberingAfterBreak="0">
    <w:nsid w:val="6DC267BD"/>
    <w:multiLevelType w:val="hybridMultilevel"/>
    <w:tmpl w:val="03726AA2"/>
    <w:lvl w:ilvl="0" w:tplc="041F0017">
      <w:start w:val="1"/>
      <w:numFmt w:val="lowerLetter"/>
      <w:lvlText w:val="%1)"/>
      <w:lvlJc w:val="left"/>
      <w:pPr>
        <w:ind w:left="721" w:hanging="360"/>
      </w:p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num w:numId="1">
    <w:abstractNumId w:val="12"/>
  </w:num>
  <w:num w:numId="2">
    <w:abstractNumId w:val="4"/>
  </w:num>
  <w:num w:numId="3">
    <w:abstractNumId w:val="16"/>
  </w:num>
  <w:num w:numId="4">
    <w:abstractNumId w:val="8"/>
  </w:num>
  <w:num w:numId="5">
    <w:abstractNumId w:val="10"/>
  </w:num>
  <w:num w:numId="6">
    <w:abstractNumId w:val="9"/>
  </w:num>
  <w:num w:numId="7">
    <w:abstractNumId w:val="15"/>
  </w:num>
  <w:num w:numId="8">
    <w:abstractNumId w:val="11"/>
  </w:num>
  <w:num w:numId="9">
    <w:abstractNumId w:val="1"/>
  </w:num>
  <w:num w:numId="10">
    <w:abstractNumId w:val="14"/>
  </w:num>
  <w:num w:numId="11">
    <w:abstractNumId w:val="7"/>
  </w:num>
  <w:num w:numId="12">
    <w:abstractNumId w:val="0"/>
  </w:num>
  <w:num w:numId="13">
    <w:abstractNumId w:val="3"/>
  </w:num>
  <w:num w:numId="14">
    <w:abstractNumId w:val="2"/>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q6OTfKpiFlXk3TTlg46LpxG1pnLtMKdZHwRPCUO7PEozxbxPCiUSJg8wKawaRJXRDcD0HTek5FIz3MFW9Uo2g==" w:salt="BChF4TyAvhyrL8NLIWBLzg=="/>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77"/>
    <w:rsid w:val="00002A14"/>
    <w:rsid w:val="00011514"/>
    <w:rsid w:val="00014090"/>
    <w:rsid w:val="00015301"/>
    <w:rsid w:val="00017C75"/>
    <w:rsid w:val="0002431F"/>
    <w:rsid w:val="0002762A"/>
    <w:rsid w:val="0003020E"/>
    <w:rsid w:val="0004037A"/>
    <w:rsid w:val="000444D1"/>
    <w:rsid w:val="00047E0F"/>
    <w:rsid w:val="00062630"/>
    <w:rsid w:val="0007225F"/>
    <w:rsid w:val="00075C27"/>
    <w:rsid w:val="000B7EC2"/>
    <w:rsid w:val="000F5E25"/>
    <w:rsid w:val="00101C72"/>
    <w:rsid w:val="00115496"/>
    <w:rsid w:val="00117733"/>
    <w:rsid w:val="00125B92"/>
    <w:rsid w:val="00130C4E"/>
    <w:rsid w:val="00132C3A"/>
    <w:rsid w:val="00133455"/>
    <w:rsid w:val="001355F8"/>
    <w:rsid w:val="0014417E"/>
    <w:rsid w:val="00152D38"/>
    <w:rsid w:val="00160355"/>
    <w:rsid w:val="00162776"/>
    <w:rsid w:val="0016576E"/>
    <w:rsid w:val="00176260"/>
    <w:rsid w:val="0017673B"/>
    <w:rsid w:val="0018156E"/>
    <w:rsid w:val="001862D7"/>
    <w:rsid w:val="001A1839"/>
    <w:rsid w:val="001C1106"/>
    <w:rsid w:val="001C1BF8"/>
    <w:rsid w:val="001D2DA6"/>
    <w:rsid w:val="001E2EE2"/>
    <w:rsid w:val="001E61B5"/>
    <w:rsid w:val="001F77A2"/>
    <w:rsid w:val="00200A43"/>
    <w:rsid w:val="00204605"/>
    <w:rsid w:val="0021175D"/>
    <w:rsid w:val="0021259F"/>
    <w:rsid w:val="00212ED1"/>
    <w:rsid w:val="002131D0"/>
    <w:rsid w:val="00214141"/>
    <w:rsid w:val="002141B6"/>
    <w:rsid w:val="0021554C"/>
    <w:rsid w:val="002168D3"/>
    <w:rsid w:val="002205D3"/>
    <w:rsid w:val="00224F85"/>
    <w:rsid w:val="00245D66"/>
    <w:rsid w:val="00255649"/>
    <w:rsid w:val="002606EF"/>
    <w:rsid w:val="00263996"/>
    <w:rsid w:val="00270227"/>
    <w:rsid w:val="002905A9"/>
    <w:rsid w:val="00290A39"/>
    <w:rsid w:val="002924EE"/>
    <w:rsid w:val="00293C68"/>
    <w:rsid w:val="0029467A"/>
    <w:rsid w:val="002972DA"/>
    <w:rsid w:val="002A2604"/>
    <w:rsid w:val="002A457C"/>
    <w:rsid w:val="002A56D6"/>
    <w:rsid w:val="002B29DB"/>
    <w:rsid w:val="002B33D2"/>
    <w:rsid w:val="002B5F83"/>
    <w:rsid w:val="002C3AE8"/>
    <w:rsid w:val="002C6D26"/>
    <w:rsid w:val="002D3DCD"/>
    <w:rsid w:val="002E6B57"/>
    <w:rsid w:val="002F2858"/>
    <w:rsid w:val="00306B5F"/>
    <w:rsid w:val="003205D8"/>
    <w:rsid w:val="00322A10"/>
    <w:rsid w:val="00333073"/>
    <w:rsid w:val="003331E8"/>
    <w:rsid w:val="003338A7"/>
    <w:rsid w:val="003340B6"/>
    <w:rsid w:val="0033693F"/>
    <w:rsid w:val="00346A8E"/>
    <w:rsid w:val="003519E6"/>
    <w:rsid w:val="00357542"/>
    <w:rsid w:val="00357D55"/>
    <w:rsid w:val="0037781F"/>
    <w:rsid w:val="00377951"/>
    <w:rsid w:val="00385020"/>
    <w:rsid w:val="00385038"/>
    <w:rsid w:val="00397503"/>
    <w:rsid w:val="003A3C87"/>
    <w:rsid w:val="003B461C"/>
    <w:rsid w:val="003C6A5D"/>
    <w:rsid w:val="003C6F65"/>
    <w:rsid w:val="003D0675"/>
    <w:rsid w:val="003D0E63"/>
    <w:rsid w:val="003D48B9"/>
    <w:rsid w:val="003D5C15"/>
    <w:rsid w:val="003E171E"/>
    <w:rsid w:val="003F3BB7"/>
    <w:rsid w:val="00404186"/>
    <w:rsid w:val="00405257"/>
    <w:rsid w:val="0041025D"/>
    <w:rsid w:val="0042320E"/>
    <w:rsid w:val="004232EA"/>
    <w:rsid w:val="00426AAF"/>
    <w:rsid w:val="0043001F"/>
    <w:rsid w:val="00433F87"/>
    <w:rsid w:val="00437F67"/>
    <w:rsid w:val="00441762"/>
    <w:rsid w:val="00443891"/>
    <w:rsid w:val="00444865"/>
    <w:rsid w:val="00452827"/>
    <w:rsid w:val="00453390"/>
    <w:rsid w:val="00455751"/>
    <w:rsid w:val="004850D5"/>
    <w:rsid w:val="00485750"/>
    <w:rsid w:val="004964A1"/>
    <w:rsid w:val="004A18FF"/>
    <w:rsid w:val="004C0444"/>
    <w:rsid w:val="004C7D9A"/>
    <w:rsid w:val="004E0DCB"/>
    <w:rsid w:val="004E736A"/>
    <w:rsid w:val="004F5009"/>
    <w:rsid w:val="004F5B43"/>
    <w:rsid w:val="00514516"/>
    <w:rsid w:val="00516482"/>
    <w:rsid w:val="00534973"/>
    <w:rsid w:val="0054652D"/>
    <w:rsid w:val="00546800"/>
    <w:rsid w:val="0055182C"/>
    <w:rsid w:val="00557238"/>
    <w:rsid w:val="00563CCA"/>
    <w:rsid w:val="00571A39"/>
    <w:rsid w:val="00573C35"/>
    <w:rsid w:val="005768FA"/>
    <w:rsid w:val="00577A63"/>
    <w:rsid w:val="005808E1"/>
    <w:rsid w:val="005812C0"/>
    <w:rsid w:val="005947AC"/>
    <w:rsid w:val="005B24C8"/>
    <w:rsid w:val="005B5C76"/>
    <w:rsid w:val="005B7F8B"/>
    <w:rsid w:val="005C048B"/>
    <w:rsid w:val="005D00AA"/>
    <w:rsid w:val="005D23A2"/>
    <w:rsid w:val="005D745B"/>
    <w:rsid w:val="005E5E12"/>
    <w:rsid w:val="005F1EAD"/>
    <w:rsid w:val="005F4731"/>
    <w:rsid w:val="005F7AE5"/>
    <w:rsid w:val="0060425C"/>
    <w:rsid w:val="00604DC6"/>
    <w:rsid w:val="00605EF2"/>
    <w:rsid w:val="006149F2"/>
    <w:rsid w:val="006177D3"/>
    <w:rsid w:val="00624F07"/>
    <w:rsid w:val="00627177"/>
    <w:rsid w:val="00631E20"/>
    <w:rsid w:val="00635386"/>
    <w:rsid w:val="00635627"/>
    <w:rsid w:val="00645B49"/>
    <w:rsid w:val="006465CB"/>
    <w:rsid w:val="00646CFD"/>
    <w:rsid w:val="0065266D"/>
    <w:rsid w:val="00657231"/>
    <w:rsid w:val="006613D9"/>
    <w:rsid w:val="00667055"/>
    <w:rsid w:val="0067535D"/>
    <w:rsid w:val="00684CF9"/>
    <w:rsid w:val="006961CD"/>
    <w:rsid w:val="00697621"/>
    <w:rsid w:val="006B1CC6"/>
    <w:rsid w:val="006B4046"/>
    <w:rsid w:val="006B7074"/>
    <w:rsid w:val="006C74AF"/>
    <w:rsid w:val="006E24FD"/>
    <w:rsid w:val="006E7DB6"/>
    <w:rsid w:val="006F1AD8"/>
    <w:rsid w:val="006F3F61"/>
    <w:rsid w:val="006F750A"/>
    <w:rsid w:val="007220A2"/>
    <w:rsid w:val="00731012"/>
    <w:rsid w:val="007313F9"/>
    <w:rsid w:val="007441F3"/>
    <w:rsid w:val="007522A9"/>
    <w:rsid w:val="00752DF9"/>
    <w:rsid w:val="0075315A"/>
    <w:rsid w:val="00754459"/>
    <w:rsid w:val="007557F4"/>
    <w:rsid w:val="0075673B"/>
    <w:rsid w:val="00766E3C"/>
    <w:rsid w:val="007746DF"/>
    <w:rsid w:val="00780A0B"/>
    <w:rsid w:val="007814FC"/>
    <w:rsid w:val="00783308"/>
    <w:rsid w:val="00787377"/>
    <w:rsid w:val="00787765"/>
    <w:rsid w:val="007A08FC"/>
    <w:rsid w:val="007C5859"/>
    <w:rsid w:val="007D7DEF"/>
    <w:rsid w:val="007E54DF"/>
    <w:rsid w:val="007E5F2C"/>
    <w:rsid w:val="007F6FE1"/>
    <w:rsid w:val="007F7B0F"/>
    <w:rsid w:val="00805E1F"/>
    <w:rsid w:val="00806BFF"/>
    <w:rsid w:val="00813D9E"/>
    <w:rsid w:val="00815FD1"/>
    <w:rsid w:val="0081685C"/>
    <w:rsid w:val="00830064"/>
    <w:rsid w:val="008423E8"/>
    <w:rsid w:val="0084588D"/>
    <w:rsid w:val="008539B9"/>
    <w:rsid w:val="00856EAE"/>
    <w:rsid w:val="00862103"/>
    <w:rsid w:val="00865FB9"/>
    <w:rsid w:val="0087229F"/>
    <w:rsid w:val="008733EE"/>
    <w:rsid w:val="008838DD"/>
    <w:rsid w:val="00884DEA"/>
    <w:rsid w:val="00885A70"/>
    <w:rsid w:val="0089159F"/>
    <w:rsid w:val="008A4960"/>
    <w:rsid w:val="008A6587"/>
    <w:rsid w:val="008B209C"/>
    <w:rsid w:val="008B4268"/>
    <w:rsid w:val="008E41F3"/>
    <w:rsid w:val="008F0595"/>
    <w:rsid w:val="00903B8F"/>
    <w:rsid w:val="00903D3A"/>
    <w:rsid w:val="00907BA3"/>
    <w:rsid w:val="009104FA"/>
    <w:rsid w:val="0091460D"/>
    <w:rsid w:val="0092081D"/>
    <w:rsid w:val="00927E37"/>
    <w:rsid w:val="00937A25"/>
    <w:rsid w:val="009402C3"/>
    <w:rsid w:val="00951B52"/>
    <w:rsid w:val="009551D3"/>
    <w:rsid w:val="00956390"/>
    <w:rsid w:val="00957CDB"/>
    <w:rsid w:val="00960D4B"/>
    <w:rsid w:val="00974BEB"/>
    <w:rsid w:val="009750A9"/>
    <w:rsid w:val="00991E78"/>
    <w:rsid w:val="009A153D"/>
    <w:rsid w:val="009A498E"/>
    <w:rsid w:val="009A5287"/>
    <w:rsid w:val="009C69C7"/>
    <w:rsid w:val="009C7698"/>
    <w:rsid w:val="009D0244"/>
    <w:rsid w:val="00A213DF"/>
    <w:rsid w:val="00A232D8"/>
    <w:rsid w:val="00A243A4"/>
    <w:rsid w:val="00A45ADC"/>
    <w:rsid w:val="00A45C46"/>
    <w:rsid w:val="00A575B9"/>
    <w:rsid w:val="00A6633F"/>
    <w:rsid w:val="00A66418"/>
    <w:rsid w:val="00A7077E"/>
    <w:rsid w:val="00A70ABD"/>
    <w:rsid w:val="00A766D2"/>
    <w:rsid w:val="00A80367"/>
    <w:rsid w:val="00A82AB2"/>
    <w:rsid w:val="00A84B87"/>
    <w:rsid w:val="00A87797"/>
    <w:rsid w:val="00A95FA3"/>
    <w:rsid w:val="00AA4587"/>
    <w:rsid w:val="00AB0D78"/>
    <w:rsid w:val="00AB6C1B"/>
    <w:rsid w:val="00AC75F9"/>
    <w:rsid w:val="00AE4F6B"/>
    <w:rsid w:val="00AF2300"/>
    <w:rsid w:val="00B01A52"/>
    <w:rsid w:val="00B16059"/>
    <w:rsid w:val="00B23339"/>
    <w:rsid w:val="00B27414"/>
    <w:rsid w:val="00B27D67"/>
    <w:rsid w:val="00B378D9"/>
    <w:rsid w:val="00B4414C"/>
    <w:rsid w:val="00B462C2"/>
    <w:rsid w:val="00B60BD1"/>
    <w:rsid w:val="00B72F2D"/>
    <w:rsid w:val="00B730AD"/>
    <w:rsid w:val="00B75947"/>
    <w:rsid w:val="00BA21DD"/>
    <w:rsid w:val="00BC3D88"/>
    <w:rsid w:val="00BC4F45"/>
    <w:rsid w:val="00BC59D3"/>
    <w:rsid w:val="00BE1356"/>
    <w:rsid w:val="00C0270A"/>
    <w:rsid w:val="00C103C9"/>
    <w:rsid w:val="00C11710"/>
    <w:rsid w:val="00C176D8"/>
    <w:rsid w:val="00C333B5"/>
    <w:rsid w:val="00C40A47"/>
    <w:rsid w:val="00C416DD"/>
    <w:rsid w:val="00C41C88"/>
    <w:rsid w:val="00C42669"/>
    <w:rsid w:val="00C53A47"/>
    <w:rsid w:val="00C6148E"/>
    <w:rsid w:val="00C65473"/>
    <w:rsid w:val="00C66240"/>
    <w:rsid w:val="00C6629A"/>
    <w:rsid w:val="00C745D9"/>
    <w:rsid w:val="00C779EE"/>
    <w:rsid w:val="00C93CAD"/>
    <w:rsid w:val="00C94E92"/>
    <w:rsid w:val="00C95FF9"/>
    <w:rsid w:val="00CA76CD"/>
    <w:rsid w:val="00CA7BD6"/>
    <w:rsid w:val="00CC0406"/>
    <w:rsid w:val="00CC32B2"/>
    <w:rsid w:val="00CC3A8A"/>
    <w:rsid w:val="00CC5CC2"/>
    <w:rsid w:val="00CC784A"/>
    <w:rsid w:val="00CD01AA"/>
    <w:rsid w:val="00CD08BF"/>
    <w:rsid w:val="00CD537E"/>
    <w:rsid w:val="00CD6D27"/>
    <w:rsid w:val="00CE2D1A"/>
    <w:rsid w:val="00CE6162"/>
    <w:rsid w:val="00CF50BB"/>
    <w:rsid w:val="00CF5223"/>
    <w:rsid w:val="00D121BA"/>
    <w:rsid w:val="00D27D9B"/>
    <w:rsid w:val="00D31BAB"/>
    <w:rsid w:val="00D348AC"/>
    <w:rsid w:val="00D40F4B"/>
    <w:rsid w:val="00D502B2"/>
    <w:rsid w:val="00D50920"/>
    <w:rsid w:val="00D50EC2"/>
    <w:rsid w:val="00D51878"/>
    <w:rsid w:val="00D603B2"/>
    <w:rsid w:val="00D61C44"/>
    <w:rsid w:val="00D63AF4"/>
    <w:rsid w:val="00D72B27"/>
    <w:rsid w:val="00D874C9"/>
    <w:rsid w:val="00D94826"/>
    <w:rsid w:val="00DA2944"/>
    <w:rsid w:val="00DA2CB1"/>
    <w:rsid w:val="00DA45F2"/>
    <w:rsid w:val="00DB23F6"/>
    <w:rsid w:val="00DB322B"/>
    <w:rsid w:val="00DB509E"/>
    <w:rsid w:val="00DB6AFE"/>
    <w:rsid w:val="00DC0138"/>
    <w:rsid w:val="00DC79BD"/>
    <w:rsid w:val="00DD0DA6"/>
    <w:rsid w:val="00DE3DBA"/>
    <w:rsid w:val="00DE4A9C"/>
    <w:rsid w:val="00DE71BE"/>
    <w:rsid w:val="00DF02E2"/>
    <w:rsid w:val="00DF21AB"/>
    <w:rsid w:val="00DF276D"/>
    <w:rsid w:val="00DF6CF3"/>
    <w:rsid w:val="00E04476"/>
    <w:rsid w:val="00E1518C"/>
    <w:rsid w:val="00E23428"/>
    <w:rsid w:val="00E32283"/>
    <w:rsid w:val="00E36655"/>
    <w:rsid w:val="00E37AC9"/>
    <w:rsid w:val="00E44D47"/>
    <w:rsid w:val="00E47B9D"/>
    <w:rsid w:val="00E56AA5"/>
    <w:rsid w:val="00E72C4B"/>
    <w:rsid w:val="00E75FD8"/>
    <w:rsid w:val="00E80E1C"/>
    <w:rsid w:val="00E82B04"/>
    <w:rsid w:val="00E8524C"/>
    <w:rsid w:val="00E86243"/>
    <w:rsid w:val="00E87C18"/>
    <w:rsid w:val="00EB51DE"/>
    <w:rsid w:val="00EC394F"/>
    <w:rsid w:val="00EC3C2F"/>
    <w:rsid w:val="00EC50F5"/>
    <w:rsid w:val="00EF1B52"/>
    <w:rsid w:val="00F006C4"/>
    <w:rsid w:val="00F01842"/>
    <w:rsid w:val="00F020FF"/>
    <w:rsid w:val="00F07DAC"/>
    <w:rsid w:val="00F35D30"/>
    <w:rsid w:val="00F414AB"/>
    <w:rsid w:val="00F41986"/>
    <w:rsid w:val="00F444F7"/>
    <w:rsid w:val="00F46927"/>
    <w:rsid w:val="00F67C51"/>
    <w:rsid w:val="00F72ACA"/>
    <w:rsid w:val="00F77105"/>
    <w:rsid w:val="00F913C6"/>
    <w:rsid w:val="00F922C0"/>
    <w:rsid w:val="00F945D6"/>
    <w:rsid w:val="00FA2344"/>
    <w:rsid w:val="00FA5C32"/>
    <w:rsid w:val="00FB5691"/>
    <w:rsid w:val="00FC7CA9"/>
    <w:rsid w:val="00FD4EA0"/>
    <w:rsid w:val="00FF0BC3"/>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1F32F53"/>
  <w15:docId w15:val="{24AF88F0-9FF6-4EAB-A499-05A3267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3B"/>
    <w:pPr>
      <w:spacing w:before="60" w:after="60"/>
      <w:jc w:val="both"/>
    </w:pPr>
    <w:rPr>
      <w:rFonts w:ascii="Times New Roman" w:eastAsia="Segoe UI" w:hAnsi="Times New Roman" w:cs="Segoe UI"/>
      <w:color w:val="000000"/>
    </w:rPr>
  </w:style>
  <w:style w:type="paragraph" w:styleId="Balk1">
    <w:name w:val="heading 1"/>
    <w:next w:val="Normal"/>
    <w:link w:val="Balk1Char"/>
    <w:uiPriority w:val="9"/>
    <w:unhideWhenUsed/>
    <w:qFormat/>
    <w:pPr>
      <w:keepNext/>
      <w:keepLines/>
      <w:spacing w:after="0"/>
      <w:ind w:left="11" w:hanging="10"/>
      <w:outlineLvl w:val="0"/>
    </w:pPr>
    <w:rPr>
      <w:rFonts w:ascii="Segoe UI" w:eastAsia="Segoe UI" w:hAnsi="Segoe UI" w:cs="Segoe UI"/>
      <w:color w:val="000000"/>
      <w:sz w:val="28"/>
    </w:rPr>
  </w:style>
  <w:style w:type="paragraph" w:styleId="Balk2">
    <w:name w:val="heading 2"/>
    <w:basedOn w:val="Normal"/>
    <w:next w:val="Normal"/>
    <w:link w:val="Balk2Char"/>
    <w:uiPriority w:val="9"/>
    <w:unhideWhenUsed/>
    <w:qFormat/>
    <w:rsid w:val="00BA2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Segoe UI" w:eastAsia="Segoe UI" w:hAnsi="Segoe UI" w:cs="Segoe UI"/>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563C1"/>
      <w:sz w:val="16"/>
      <w:u w:val="single" w:color="0563C1"/>
    </w:rPr>
  </w:style>
  <w:style w:type="character" w:customStyle="1" w:styleId="footnotedescriptionChar">
    <w:name w:val="footnote description Char"/>
    <w:link w:val="footnotedescription"/>
    <w:rPr>
      <w:rFonts w:ascii="Calibri" w:eastAsia="Calibri" w:hAnsi="Calibri" w:cs="Calibri"/>
      <w:color w:val="0563C1"/>
      <w:sz w:val="16"/>
      <w:u w:val="single" w:color="0563C1"/>
    </w:rPr>
  </w:style>
  <w:style w:type="character" w:customStyle="1" w:styleId="footnotemark">
    <w:name w:val="footnote mark"/>
    <w:hidden/>
    <w:rPr>
      <w:rFonts w:ascii="Calibri" w:eastAsia="Calibri" w:hAnsi="Calibri" w:cs="Calibri"/>
      <w:color w:val="000000"/>
      <w:sz w:val="16"/>
      <w:vertAlign w:val="superscript"/>
    </w:rPr>
  </w:style>
  <w:style w:type="paragraph" w:styleId="AltBilgi">
    <w:name w:val="footer"/>
    <w:basedOn w:val="Normal"/>
    <w:link w:val="AltBilgiChar"/>
    <w:uiPriority w:val="99"/>
    <w:unhideWhenUsed/>
    <w:rsid w:val="0001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5301"/>
    <w:rPr>
      <w:rFonts w:ascii="Segoe UI" w:eastAsia="Segoe UI" w:hAnsi="Segoe UI" w:cs="Segoe UI"/>
      <w:color w:val="000000"/>
      <w:sz w:val="20"/>
    </w:rPr>
  </w:style>
  <w:style w:type="table" w:styleId="TabloKlavuzu">
    <w:name w:val="Table Grid"/>
    <w:basedOn w:val="NormalTablo"/>
    <w:uiPriority w:val="39"/>
    <w:rsid w:val="0061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524C"/>
    <w:pPr>
      <w:ind w:left="720"/>
      <w:contextualSpacing/>
    </w:pPr>
  </w:style>
  <w:style w:type="paragraph" w:styleId="stBilgi">
    <w:name w:val="header"/>
    <w:basedOn w:val="Normal"/>
    <w:link w:val="stBilgiChar"/>
    <w:uiPriority w:val="99"/>
    <w:unhideWhenUsed/>
    <w:rsid w:val="005E5E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5E12"/>
    <w:rPr>
      <w:rFonts w:ascii="Segoe UI" w:eastAsia="Segoe UI" w:hAnsi="Segoe UI" w:cs="Segoe UI"/>
      <w:color w:val="000000"/>
      <w:sz w:val="20"/>
    </w:rPr>
  </w:style>
  <w:style w:type="paragraph" w:styleId="DipnotMetni">
    <w:name w:val="footnote text"/>
    <w:basedOn w:val="Normal"/>
    <w:link w:val="DipnotMetniChar"/>
    <w:uiPriority w:val="99"/>
    <w:semiHidden/>
    <w:unhideWhenUsed/>
    <w:rsid w:val="005E5E12"/>
    <w:pPr>
      <w:spacing w:after="0" w:line="240" w:lineRule="auto"/>
    </w:pPr>
    <w:rPr>
      <w:szCs w:val="20"/>
    </w:rPr>
  </w:style>
  <w:style w:type="character" w:customStyle="1" w:styleId="DipnotMetniChar">
    <w:name w:val="Dipnot Metni Char"/>
    <w:basedOn w:val="VarsaylanParagrafYazTipi"/>
    <w:link w:val="DipnotMetni"/>
    <w:uiPriority w:val="99"/>
    <w:semiHidden/>
    <w:rsid w:val="005E5E12"/>
    <w:rPr>
      <w:rFonts w:ascii="Segoe UI" w:eastAsia="Segoe UI" w:hAnsi="Segoe UI" w:cs="Segoe UI"/>
      <w:color w:val="000000"/>
      <w:sz w:val="20"/>
      <w:szCs w:val="20"/>
    </w:rPr>
  </w:style>
  <w:style w:type="character" w:styleId="DipnotBavurusu">
    <w:name w:val="footnote reference"/>
    <w:basedOn w:val="VarsaylanParagrafYazTipi"/>
    <w:uiPriority w:val="99"/>
    <w:semiHidden/>
    <w:unhideWhenUsed/>
    <w:rsid w:val="005E5E12"/>
    <w:rPr>
      <w:vertAlign w:val="superscript"/>
    </w:rPr>
  </w:style>
  <w:style w:type="character" w:styleId="Kpr">
    <w:name w:val="Hyperlink"/>
    <w:basedOn w:val="VarsaylanParagrafYazTipi"/>
    <w:uiPriority w:val="99"/>
    <w:unhideWhenUsed/>
    <w:rsid w:val="00F67C51"/>
    <w:rPr>
      <w:color w:val="0563C1" w:themeColor="hyperlink"/>
      <w:u w:val="single"/>
    </w:rPr>
  </w:style>
  <w:style w:type="character" w:customStyle="1" w:styleId="Balk2Char">
    <w:name w:val="Başlık 2 Char"/>
    <w:basedOn w:val="VarsaylanParagrafYazTipi"/>
    <w:link w:val="Balk2"/>
    <w:uiPriority w:val="9"/>
    <w:rsid w:val="00BA21DD"/>
    <w:rPr>
      <w:rFonts w:asciiTheme="majorHAnsi" w:eastAsiaTheme="majorEastAsia" w:hAnsiTheme="majorHAnsi" w:cstheme="majorBidi"/>
      <w:color w:val="2E74B5" w:themeColor="accent1" w:themeShade="BF"/>
      <w:sz w:val="26"/>
      <w:szCs w:val="26"/>
    </w:rPr>
  </w:style>
  <w:style w:type="character" w:styleId="zlenenKpr">
    <w:name w:val="FollowedHyperlink"/>
    <w:basedOn w:val="VarsaylanParagrafYazTipi"/>
    <w:uiPriority w:val="99"/>
    <w:semiHidden/>
    <w:unhideWhenUsed/>
    <w:rsid w:val="006E7DB6"/>
    <w:rPr>
      <w:color w:val="954F72" w:themeColor="followedHyperlink"/>
      <w:u w:val="single"/>
    </w:rPr>
  </w:style>
  <w:style w:type="paragraph" w:styleId="TBal">
    <w:name w:val="TOC Heading"/>
    <w:basedOn w:val="Balk1"/>
    <w:next w:val="Normal"/>
    <w:uiPriority w:val="39"/>
    <w:unhideWhenUsed/>
    <w:qFormat/>
    <w:rsid w:val="0075673B"/>
    <w:pPr>
      <w:spacing w:before="240"/>
      <w:ind w:left="0" w:firstLine="0"/>
      <w:outlineLvl w:val="9"/>
    </w:pPr>
    <w:rPr>
      <w:rFonts w:asciiTheme="majorHAnsi" w:eastAsiaTheme="majorEastAsia" w:hAnsiTheme="majorHAnsi" w:cstheme="majorBidi"/>
      <w:color w:val="2E74B5" w:themeColor="accent1" w:themeShade="BF"/>
      <w:sz w:val="32"/>
      <w:szCs w:val="32"/>
    </w:rPr>
  </w:style>
  <w:style w:type="paragraph" w:styleId="T1">
    <w:name w:val="toc 1"/>
    <w:basedOn w:val="Normal"/>
    <w:next w:val="Normal"/>
    <w:autoRedefine/>
    <w:uiPriority w:val="39"/>
    <w:unhideWhenUsed/>
    <w:rsid w:val="0075673B"/>
    <w:pPr>
      <w:spacing w:after="100"/>
    </w:pPr>
  </w:style>
  <w:style w:type="paragraph" w:styleId="BalonMetni">
    <w:name w:val="Balloon Text"/>
    <w:basedOn w:val="Normal"/>
    <w:link w:val="BalonMetniChar"/>
    <w:uiPriority w:val="99"/>
    <w:semiHidden/>
    <w:unhideWhenUsed/>
    <w:rsid w:val="00780A0B"/>
    <w:pPr>
      <w:spacing w:before="0" w:after="0" w:line="240" w:lineRule="auto"/>
    </w:pPr>
    <w:rPr>
      <w:rFonts w:ascii="Segoe UI" w:hAnsi="Segoe UI"/>
      <w:sz w:val="18"/>
      <w:szCs w:val="18"/>
    </w:rPr>
  </w:style>
  <w:style w:type="character" w:customStyle="1" w:styleId="BalonMetniChar">
    <w:name w:val="Balon Metni Char"/>
    <w:basedOn w:val="VarsaylanParagrafYazTipi"/>
    <w:link w:val="BalonMetni"/>
    <w:uiPriority w:val="99"/>
    <w:semiHidden/>
    <w:rsid w:val="00780A0B"/>
    <w:rPr>
      <w:rFonts w:ascii="Segoe UI" w:eastAsia="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1743">
      <w:bodyDiv w:val="1"/>
      <w:marLeft w:val="0"/>
      <w:marRight w:val="0"/>
      <w:marTop w:val="0"/>
      <w:marBottom w:val="0"/>
      <w:divBdr>
        <w:top w:val="none" w:sz="0" w:space="0" w:color="auto"/>
        <w:left w:val="none" w:sz="0" w:space="0" w:color="auto"/>
        <w:bottom w:val="none" w:sz="0" w:space="0" w:color="auto"/>
        <w:right w:val="none" w:sz="0" w:space="0" w:color="auto"/>
      </w:divBdr>
      <w:divsChild>
        <w:div w:id="1428962686">
          <w:marLeft w:val="0"/>
          <w:marRight w:val="0"/>
          <w:marTop w:val="0"/>
          <w:marBottom w:val="0"/>
          <w:divBdr>
            <w:top w:val="none" w:sz="0" w:space="0" w:color="auto"/>
            <w:left w:val="none" w:sz="0" w:space="0" w:color="auto"/>
            <w:bottom w:val="none" w:sz="0" w:space="0" w:color="auto"/>
            <w:right w:val="none" w:sz="0" w:space="0" w:color="auto"/>
          </w:divBdr>
        </w:div>
        <w:div w:id="539824293">
          <w:marLeft w:val="0"/>
          <w:marRight w:val="0"/>
          <w:marTop w:val="0"/>
          <w:marBottom w:val="0"/>
          <w:divBdr>
            <w:top w:val="none" w:sz="0" w:space="0" w:color="auto"/>
            <w:left w:val="none" w:sz="0" w:space="0" w:color="auto"/>
            <w:bottom w:val="none" w:sz="0" w:space="0" w:color="auto"/>
            <w:right w:val="none" w:sz="0" w:space="0" w:color="auto"/>
          </w:divBdr>
          <w:divsChild>
            <w:div w:id="1524127921">
              <w:marLeft w:val="0"/>
              <w:marRight w:val="165"/>
              <w:marTop w:val="150"/>
              <w:marBottom w:val="0"/>
              <w:divBdr>
                <w:top w:val="none" w:sz="0" w:space="0" w:color="auto"/>
                <w:left w:val="none" w:sz="0" w:space="0" w:color="auto"/>
                <w:bottom w:val="none" w:sz="0" w:space="0" w:color="auto"/>
                <w:right w:val="none" w:sz="0" w:space="0" w:color="auto"/>
              </w:divBdr>
              <w:divsChild>
                <w:div w:id="1941066523">
                  <w:marLeft w:val="0"/>
                  <w:marRight w:val="0"/>
                  <w:marTop w:val="0"/>
                  <w:marBottom w:val="0"/>
                  <w:divBdr>
                    <w:top w:val="none" w:sz="0" w:space="0" w:color="auto"/>
                    <w:left w:val="none" w:sz="0" w:space="0" w:color="auto"/>
                    <w:bottom w:val="none" w:sz="0" w:space="0" w:color="auto"/>
                    <w:right w:val="none" w:sz="0" w:space="0" w:color="auto"/>
                  </w:divBdr>
                  <w:divsChild>
                    <w:div w:id="538929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C67B-0B3F-4D87-92F2-07ABBF6B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448</Words>
  <Characters>2554</Characters>
  <Application>Microsoft Office Word</Application>
  <DocSecurity>8</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Kelly</dc:creator>
  <cp:keywords/>
  <cp:lastModifiedBy>Güllü Ceyda İŞBAŞAR</cp:lastModifiedBy>
  <cp:revision>24</cp:revision>
  <dcterms:created xsi:type="dcterms:W3CDTF">2022-12-23T06:34:00Z</dcterms:created>
  <dcterms:modified xsi:type="dcterms:W3CDTF">2023-12-25T07:03:00Z</dcterms:modified>
</cp:coreProperties>
</file>